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6F0AAD">
        <w:t>dobu 5 let</w:t>
      </w:r>
      <w:r w:rsidR="0070300A">
        <w:t xml:space="preserve">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3EF078E0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C94DD9">
        <w:rPr>
          <w:rFonts w:eastAsia="Calibri"/>
          <w:lang w:eastAsia="en-US"/>
        </w:rPr>
        <w:t>Přístroj pro stanovení filtrovatelnosti (CFPP) uhlovodíkových paliv, biopaliv a topných olejů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758A0025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9381A">
      <w:rPr>
        <w:rFonts w:eastAsia="Calibri"/>
        <w:lang w:eastAsia="en-US"/>
      </w:rPr>
      <w:t>Přístroj pro stanovení filtrovatelnosti (CFPP) uhlovodíkových paliv, biopaliv a topných olejů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0AAD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9381A"/>
    <w:rsid w:val="00C94DD9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7</cp:revision>
  <cp:lastPrinted>2016-08-10T12:52:00Z</cp:lastPrinted>
  <dcterms:created xsi:type="dcterms:W3CDTF">2017-04-30T07:30:00Z</dcterms:created>
  <dcterms:modified xsi:type="dcterms:W3CDTF">2017-05-12T08:33:00Z</dcterms:modified>
</cp:coreProperties>
</file>