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3ADF8716" w:rsidR="000D0134" w:rsidRPr="00DD569B" w:rsidRDefault="00702001" w:rsidP="00DD569B">
      <w:pPr>
        <w:pStyle w:val="Zpat"/>
        <w:tabs>
          <w:tab w:val="clear" w:pos="4536"/>
          <w:tab w:val="clear" w:pos="9072"/>
        </w:tabs>
        <w:ind w:right="71"/>
        <w:jc w:val="both"/>
        <w:rPr>
          <w:sz w:val="24"/>
        </w:rPr>
      </w:pPr>
      <w:bookmarkStart w:id="0" w:name="_GoBack"/>
      <w:bookmarkEnd w:id="0"/>
      <w:r w:rsidRPr="00DD569B">
        <w:rPr>
          <w:sz w:val="24"/>
        </w:rPr>
        <w:t>Příloha č. 2</w:t>
      </w:r>
      <w:r w:rsidR="000D0134" w:rsidRPr="00DD569B">
        <w:rPr>
          <w:sz w:val="24"/>
        </w:rPr>
        <w:t xml:space="preserve"> Zadávací dokumentace veřejné zakázky </w:t>
      </w:r>
      <w:r w:rsidR="00E018A3" w:rsidRPr="00F64188">
        <w:rPr>
          <w:sz w:val="24"/>
        </w:rPr>
        <w:t>„</w:t>
      </w:r>
      <w:r w:rsidR="00F64188" w:rsidRPr="00F64188">
        <w:rPr>
          <w:b/>
          <w:sz w:val="24"/>
        </w:rPr>
        <w:t>Zařízení pro tenkovrstvou chromatografii s plameno-ionizačním detektorem – TLC/FID</w:t>
      </w:r>
      <w:r w:rsidR="00F54126" w:rsidRPr="00F64188">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0A8F432D"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w:t>
      </w:r>
      <w:r w:rsidR="000E51CA">
        <w:rPr>
          <w:rFonts w:ascii="Times New Roman" w:hAnsi="Times New Roman"/>
          <w:sz w:val="24"/>
        </w:rPr>
        <w:t>infrastrukturních</w:t>
      </w:r>
      <w:r w:rsidR="00F54126">
        <w:rPr>
          <w:rFonts w:ascii="Times New Roman" w:hAnsi="Times New Roman"/>
          <w:sz w:val="24"/>
        </w:rPr>
        <w:t xml:space="preserve">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3510C740"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0E51CA">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48A878D5" w14:textId="5FB8BB0A"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0E51CA">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4CEC51D6"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0E51CA">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210C6B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0E51CA">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74837D3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0E51CA">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7367574E"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0E51CA">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5E8D51AE"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0E51CA">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6E837446"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0E51CA">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44108921"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0E51CA">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7C57D030"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 xml:space="preserve">s názvem </w:t>
      </w:r>
      <w:r w:rsidR="00B84F19" w:rsidRPr="00F64188">
        <w:rPr>
          <w:rFonts w:ascii="Times New Roman" w:hAnsi="Times New Roman" w:cs="Times New Roman"/>
          <w:sz w:val="24"/>
        </w:rPr>
        <w:t>„</w:t>
      </w:r>
      <w:r w:rsidR="00F64188" w:rsidRPr="00F64188">
        <w:rPr>
          <w:rFonts w:ascii="Times New Roman" w:hAnsi="Times New Roman" w:cs="Times New Roman"/>
          <w:b/>
          <w:sz w:val="24"/>
        </w:rPr>
        <w:t>Zařízení pro tenkovrstvou chromatografii s plameno-ionizačním detektorem – TLC/FID</w:t>
      </w:r>
      <w:r w:rsidR="00F54126" w:rsidRPr="00F64188">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F64188">
        <w:rPr>
          <w:rFonts w:ascii="Times New Roman" w:eastAsia="Times New Roman" w:hAnsi="Times New Roman" w:cs="Times New Roman"/>
          <w:sz w:val="24"/>
          <w:szCs w:val="24"/>
          <w:lang w:eastAsia="cs-CZ"/>
        </w:rPr>
        <w:t>P</w:t>
      </w:r>
      <w:r w:rsidR="00316753" w:rsidRPr="00F64188">
        <w:rPr>
          <w:rFonts w:ascii="Times New Roman" w:eastAsia="Times New Roman" w:hAnsi="Times New Roman" w:cs="Times New Roman"/>
          <w:sz w:val="24"/>
          <w:szCs w:val="24"/>
          <w:lang w:eastAsia="cs-CZ"/>
        </w:rPr>
        <w:t>lnění Veřejné zakázky</w:t>
      </w:r>
      <w:r w:rsidRPr="00F64188">
        <w:rPr>
          <w:rFonts w:ascii="Times New Roman" w:hAnsi="Times New Roman" w:cs="Times New Roman"/>
          <w:sz w:val="24"/>
        </w:rPr>
        <w:t xml:space="preserve"> dle této </w:t>
      </w:r>
      <w:r w:rsidRPr="00F64188">
        <w:rPr>
          <w:rFonts w:ascii="Times New Roman" w:eastAsia="Times New Roman" w:hAnsi="Times New Roman" w:cs="Times New Roman"/>
          <w:sz w:val="24"/>
          <w:szCs w:val="24"/>
          <w:lang w:eastAsia="cs-CZ"/>
        </w:rPr>
        <w:t>Smlouvy</w:t>
      </w:r>
      <w:r w:rsidRPr="00F64188">
        <w:rPr>
          <w:rFonts w:ascii="Times New Roman" w:hAnsi="Times New Roman" w:cs="Times New Roman"/>
          <w:sz w:val="24"/>
        </w:rPr>
        <w:t xml:space="preserve"> je součástí realizace projektu </w:t>
      </w:r>
      <w:r w:rsidR="00F54126" w:rsidRPr="00F64188">
        <w:rPr>
          <w:rFonts w:ascii="Times New Roman" w:hAnsi="Times New Roman" w:cs="Times New Roman"/>
          <w:sz w:val="24"/>
        </w:rPr>
        <w:t>„Rozvoj centra UniCRE“, který je realizován v rámci programu „Národní program udržitelnosti I“ (NPU I) s finanční podporou Ministerstva školství, mládeže a tělovýchovy ČR.</w:t>
      </w:r>
      <w:r w:rsidR="00536BD8" w:rsidRPr="00F64188">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5B4B375B"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odevzdat </w:t>
      </w:r>
      <w:r w:rsidR="00F64188" w:rsidRPr="00F64188">
        <w:rPr>
          <w:rFonts w:ascii="Times New Roman" w:eastAsia="Times New Roman" w:hAnsi="Times New Roman" w:cs="Times New Roman"/>
          <w:b/>
          <w:sz w:val="24"/>
          <w:szCs w:val="24"/>
          <w:lang w:eastAsia="cs-CZ"/>
        </w:rPr>
        <w:t>Zařízení pro tenkovrstvou chromatografii s plameno-ionizačním detektorem – TLC/FID</w:t>
      </w:r>
      <w:r w:rsidRPr="0011072C">
        <w:rPr>
          <w:rFonts w:ascii="Times New Roman" w:eastAsia="Times New Roman" w:hAnsi="Times New Roman" w:cs="Times New Roman"/>
          <w:sz w:val="24"/>
          <w:szCs w:val="24"/>
          <w:lang w:eastAsia="cs-CZ"/>
        </w:rPr>
        <w:t xml:space="preserve"> se všemi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7424CCD2" w:rsidR="0011072C" w:rsidRDefault="00163D96"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11072C">
        <w:rPr>
          <w:rFonts w:ascii="Times New Roman" w:eastAsia="Times New Roman" w:hAnsi="Times New Roman" w:cs="Times New Roman"/>
          <w:sz w:val="24"/>
          <w:szCs w:val="24"/>
          <w:lang w:eastAsia="cs-CZ"/>
        </w:rPr>
        <w:t xml:space="preserve"> </w:t>
      </w:r>
      <w:r w:rsidR="0011072C" w:rsidRPr="0011072C">
        <w:rPr>
          <w:rFonts w:ascii="Times New Roman" w:eastAsia="Times New Roman" w:hAnsi="Times New Roman" w:cs="Times New Roman"/>
          <w:sz w:val="24"/>
          <w:szCs w:val="24"/>
          <w:lang w:eastAsia="cs-CZ"/>
        </w:rPr>
        <w:t xml:space="preserve">se zavazuje, že Předmět </w:t>
      </w:r>
      <w:r w:rsidR="0011072C">
        <w:rPr>
          <w:rFonts w:ascii="Times New Roman" w:eastAsia="Times New Roman" w:hAnsi="Times New Roman" w:cs="Times New Roman"/>
          <w:sz w:val="24"/>
          <w:szCs w:val="24"/>
          <w:lang w:eastAsia="cs-CZ"/>
        </w:rPr>
        <w:t>dodávky</w:t>
      </w:r>
      <w:r w:rsidR="0011072C"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sidR="0011072C">
        <w:rPr>
          <w:rFonts w:ascii="Times New Roman" w:eastAsia="Times New Roman" w:hAnsi="Times New Roman" w:cs="Times New Roman"/>
          <w:sz w:val="24"/>
          <w:szCs w:val="24"/>
          <w:lang w:eastAsia="cs-CZ"/>
        </w:rPr>
        <w:t>Dodavateli cenu ve </w:t>
      </w:r>
      <w:r w:rsidR="0011072C" w:rsidRPr="0011072C">
        <w:rPr>
          <w:rFonts w:ascii="Times New Roman" w:eastAsia="Times New Roman" w:hAnsi="Times New Roman" w:cs="Times New Roman"/>
          <w:sz w:val="24"/>
          <w:szCs w:val="24"/>
          <w:lang w:eastAsia="cs-CZ"/>
        </w:rPr>
        <w:t>výši sjednané dle této Smlouvy</w:t>
      </w:r>
      <w:r w:rsidR="0011072C">
        <w:rPr>
          <w:rFonts w:ascii="Times New Roman" w:eastAsia="Times New Roman" w:hAnsi="Times New Roman" w:cs="Times New Roman"/>
          <w:sz w:val="24"/>
          <w:szCs w:val="24"/>
          <w:lang w:eastAsia="cs-CZ"/>
        </w:rPr>
        <w:t>.</w:t>
      </w:r>
    </w:p>
    <w:p w14:paraId="2266C68A" w14:textId="2F21FB3A" w:rsidR="0011072C" w:rsidRP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w:t>
      </w:r>
      <w:r w:rsidR="00B721D5">
        <w:rPr>
          <w:rFonts w:ascii="Times New Roman" w:eastAsia="Times New Roman" w:hAnsi="Times New Roman" w:cs="Times New Roman"/>
          <w:sz w:val="24"/>
          <w:szCs w:val="24"/>
          <w:lang w:eastAsia="cs-CZ"/>
        </w:rPr>
        <w:t xml:space="preserve">Bližší podmínky poskytování Mimozáručního servisu, jakož i záručního servisu, jsou uvedeny v příloze č. 2 této Smlouvy. </w:t>
      </w:r>
      <w:r>
        <w:rPr>
          <w:rFonts w:ascii="Times New Roman" w:eastAsia="Times New Roman" w:hAnsi="Times New Roman" w:cs="Times New Roman"/>
          <w:sz w:val="24"/>
          <w:szCs w:val="24"/>
          <w:lang w:eastAsia="cs-CZ"/>
        </w:rPr>
        <w:t xml:space="preserve">Za poskytnutí Mimozáručního servisu se Objednatel zavazuje uhradit Dodavateli odměnu sjednanou níže v této Smlouvě.  </w:t>
      </w:r>
    </w:p>
    <w:p w14:paraId="50C32952" w14:textId="1AF3F973"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Předmětu dodávky</w:t>
      </w:r>
      <w:r w:rsidR="00F6105E">
        <w:rPr>
          <w:rFonts w:ascii="Times New Roman" w:eastAsia="Times New Roman" w:hAnsi="Times New Roman" w:cs="Times New Roman"/>
          <w:sz w:val="24"/>
          <w:szCs w:val="24"/>
          <w:lang w:eastAsia="cs-CZ"/>
        </w:rPr>
        <w:t xml:space="preserve">, </w:t>
      </w:r>
      <w:r w:rsidR="00316753" w:rsidRPr="00536BD8">
        <w:rPr>
          <w:rFonts w:ascii="Times New Roman" w:eastAsia="Times New Roman" w:hAnsi="Times New Roman" w:cs="Times New Roman"/>
          <w:sz w:val="24"/>
          <w:szCs w:val="24"/>
          <w:lang w:eastAsia="cs-CZ"/>
        </w:rPr>
        <w:t>poskytováním</w:t>
      </w:r>
      <w:r w:rsidR="00F6105E">
        <w:rPr>
          <w:rFonts w:ascii="Times New Roman" w:eastAsia="Times New Roman" w:hAnsi="Times New Roman" w:cs="Times New Roman"/>
          <w:sz w:val="24"/>
          <w:szCs w:val="24"/>
          <w:lang w:eastAsia="cs-CZ"/>
        </w:rPr>
        <w:t xml:space="preserve"> Mimozáručního servisu</w:t>
      </w:r>
      <w:r w:rsidR="00316753" w:rsidRPr="00536BD8">
        <w:rPr>
          <w:rFonts w:ascii="Times New Roman" w:eastAsia="Times New Roman" w:hAnsi="Times New Roman" w:cs="Times New Roman"/>
          <w:sz w:val="24"/>
          <w:szCs w:val="24"/>
          <w:lang w:eastAsia="cs-CZ"/>
        </w:rPr>
        <w:t xml:space="preserve"> </w:t>
      </w:r>
      <w:r w:rsidR="00F6105E">
        <w:rPr>
          <w:rFonts w:ascii="Times New Roman" w:eastAsia="Times New Roman" w:hAnsi="Times New Roman" w:cs="Times New Roman"/>
          <w:sz w:val="24"/>
          <w:szCs w:val="24"/>
          <w:lang w:eastAsia="cs-CZ"/>
        </w:rPr>
        <w:t>a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níže specifikovaných služeb</w:t>
      </w:r>
      <w:r w:rsidRPr="00536BD8">
        <w:rPr>
          <w:rFonts w:ascii="Times New Roman" w:eastAsia="Times New Roman" w:hAnsi="Times New Roman" w:cs="Times New Roman"/>
          <w:sz w:val="24"/>
          <w:szCs w:val="24"/>
          <w:lang w:eastAsia="cs-CZ"/>
        </w:rPr>
        <w:t xml:space="preserve"> </w:t>
      </w:r>
      <w:r w:rsidR="00DE4885" w:rsidRPr="00536BD8">
        <w:rPr>
          <w:rFonts w:ascii="Times New Roman" w:eastAsia="Times New Roman" w:hAnsi="Times New Roman" w:cs="Times New Roman"/>
          <w:sz w:val="24"/>
          <w:szCs w:val="24"/>
          <w:lang w:eastAsia="cs-CZ"/>
        </w:rPr>
        <w:t xml:space="preserve">nezbytných </w:t>
      </w:r>
      <w:r w:rsidRPr="00536BD8">
        <w:rPr>
          <w:rFonts w:ascii="Times New Roman" w:eastAsia="Times New Roman" w:hAnsi="Times New Roman" w:cs="Times New Roman"/>
          <w:sz w:val="24"/>
          <w:szCs w:val="24"/>
          <w:lang w:eastAsia="cs-CZ"/>
        </w:rPr>
        <w:t xml:space="preserve">pro realizaci </w:t>
      </w:r>
      <w:r w:rsidRPr="00F64188">
        <w:rPr>
          <w:rFonts w:ascii="Times New Roman" w:eastAsia="Times New Roman" w:hAnsi="Times New Roman" w:cs="Times New Roman"/>
          <w:sz w:val="24"/>
          <w:szCs w:val="24"/>
          <w:lang w:eastAsia="cs-CZ"/>
        </w:rPr>
        <w:t xml:space="preserve">projektu </w:t>
      </w:r>
      <w:r w:rsidR="00F54126" w:rsidRPr="00F64188">
        <w:rPr>
          <w:rFonts w:ascii="Times New Roman" w:eastAsia="Times New Roman" w:hAnsi="Times New Roman" w:cs="Times New Roman"/>
          <w:sz w:val="24"/>
          <w:szCs w:val="24"/>
          <w:lang w:eastAsia="cs-CZ"/>
        </w:rPr>
        <w:t>„Rozvoj centra UniCRE</w:t>
      </w:r>
      <w:r w:rsidR="00F54126" w:rsidRPr="00536BD8">
        <w:rPr>
          <w:rFonts w:ascii="Times New Roman" w:eastAsia="Times New Roman" w:hAnsi="Times New Roman" w:cs="Times New Roman"/>
          <w:sz w:val="24"/>
          <w:szCs w:val="24"/>
          <w:lang w:eastAsia="cs-CZ"/>
        </w:rPr>
        <w:t>“</w:t>
      </w:r>
      <w:r w:rsidRPr="00536BD8">
        <w:rPr>
          <w:rFonts w:ascii="Times New Roman" w:eastAsia="Times New Roman" w:hAnsi="Times New Roman" w:cs="Times New Roman"/>
          <w:sz w:val="24"/>
          <w:szCs w:val="24"/>
          <w:lang w:eastAsia="cs-CZ"/>
        </w:rPr>
        <w:t xml:space="preserve"> (viz Preambule této Smlouvy).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5FB631DD" w:rsidR="0011072C" w:rsidRPr="00F6105E"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F6105E">
        <w:rPr>
          <w:rFonts w:ascii="Times New Roman" w:eastAsia="Times New Roman" w:hAnsi="Times New Roman" w:cs="Times New Roman"/>
          <w:sz w:val="24"/>
          <w:szCs w:val="24"/>
          <w:lang w:eastAsia="cs-CZ"/>
        </w:rPr>
        <w:t>Předmět dodávky bude Objednatelem využíván především</w:t>
      </w:r>
      <w:r w:rsidR="00F6105E">
        <w:rPr>
          <w:rFonts w:ascii="Times New Roman" w:eastAsia="Times New Roman" w:hAnsi="Times New Roman" w:cs="Times New Roman"/>
          <w:sz w:val="24"/>
          <w:szCs w:val="24"/>
          <w:lang w:eastAsia="cs-CZ"/>
        </w:rPr>
        <w:t xml:space="preserve"> k</w:t>
      </w:r>
      <w:r w:rsidRPr="00F6105E">
        <w:rPr>
          <w:rFonts w:ascii="Times New Roman" w:eastAsia="Times New Roman" w:hAnsi="Times New Roman" w:cs="Times New Roman"/>
          <w:sz w:val="24"/>
          <w:szCs w:val="24"/>
          <w:lang w:eastAsia="cs-CZ"/>
        </w:rPr>
        <w:t xml:space="preserve"> </w:t>
      </w:r>
      <w:r w:rsidR="0048068C" w:rsidRPr="00855785">
        <w:rPr>
          <w:rFonts w:ascii="Times New Roman" w:hAnsi="Times New Roman"/>
          <w:sz w:val="24"/>
          <w:szCs w:val="24"/>
        </w:rPr>
        <w:t>termické analýze materiálů v požadovaném teplotním rozsahu s využitím rozličných teplotních programů</w:t>
      </w:r>
      <w:r w:rsidR="00F6105E">
        <w:rPr>
          <w:rFonts w:ascii="Times New Roman" w:hAnsi="Times New Roman"/>
          <w:sz w:val="24"/>
          <w:szCs w:val="24"/>
        </w:rPr>
        <w:t xml:space="preserve">. </w:t>
      </w:r>
      <w:r w:rsidR="00171D9D">
        <w:rPr>
          <w:rFonts w:ascii="Times New Roman" w:hAnsi="Times New Roman"/>
          <w:sz w:val="24"/>
          <w:szCs w:val="24"/>
        </w:rPr>
        <w:t xml:space="preserve">Pro Objednatele je podstatná bezchybná funkčnost </w:t>
      </w:r>
      <w:r w:rsidR="00F6105E">
        <w:rPr>
          <w:rFonts w:ascii="Times New Roman" w:hAnsi="Times New Roman"/>
          <w:sz w:val="24"/>
          <w:szCs w:val="24"/>
        </w:rPr>
        <w:t>Předmětu dodávky</w:t>
      </w:r>
      <w:r w:rsidR="00171D9D">
        <w:rPr>
          <w:rFonts w:ascii="Times New Roman" w:hAnsi="Times New Roman"/>
          <w:sz w:val="24"/>
          <w:szCs w:val="24"/>
        </w:rPr>
        <w:t xml:space="preserve"> při jeho využití pro účely uvedené v předchozí větě, </w:t>
      </w:r>
      <w:r w:rsidR="00F6105E">
        <w:rPr>
          <w:rFonts w:ascii="Times New Roman" w:hAnsi="Times New Roman"/>
          <w:sz w:val="24"/>
          <w:szCs w:val="24"/>
        </w:rPr>
        <w:t>což bere Dodavatel na vědomí</w:t>
      </w:r>
      <w:r w:rsidR="0048068C" w:rsidRPr="00855785">
        <w:rPr>
          <w:rFonts w:ascii="Times New Roman" w:hAnsi="Times New Roman"/>
          <w:sz w:val="24"/>
          <w:szCs w:val="24"/>
        </w:rPr>
        <w:t>.</w:t>
      </w:r>
    </w:p>
    <w:p w14:paraId="69F7E8AD" w14:textId="08D8D8AC" w:rsidR="0011072C" w:rsidRPr="00F64188"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Součástí dodání Předmětu dodávky je rovněž </w:t>
      </w:r>
      <w:r w:rsidRPr="00F64188">
        <w:rPr>
          <w:rFonts w:ascii="Times New Roman" w:eastAsia="Times New Roman" w:hAnsi="Times New Roman" w:cs="Times New Roman"/>
          <w:sz w:val="24"/>
          <w:szCs w:val="24"/>
          <w:lang w:eastAsia="cs-CZ"/>
        </w:rPr>
        <w:t>doprava přístroje na místo plnění, jeho instalace včetně všech souvisejících činností (balení, doprava, likvidace odpadů apod.), zprovoznění, jakož i provedení kalibrace včetně vyhotovení kalibračního protokolu.</w:t>
      </w:r>
      <w:r w:rsidR="00307325" w:rsidRPr="00F64188">
        <w:rPr>
          <w:rFonts w:ascii="Times New Roman" w:eastAsia="Times New Roman" w:hAnsi="Times New Roman" w:cs="Times New Roman"/>
          <w:sz w:val="24"/>
          <w:szCs w:val="24"/>
          <w:lang w:eastAsia="cs-CZ"/>
        </w:rPr>
        <w:t xml:space="preserve"> Součástí </w:t>
      </w:r>
      <w:r w:rsidR="00307325" w:rsidRPr="002105DC">
        <w:rPr>
          <w:rFonts w:ascii="Times New Roman" w:eastAsia="Times New Roman" w:hAnsi="Times New Roman" w:cs="Times New Roman"/>
          <w:sz w:val="24"/>
          <w:szCs w:val="24"/>
          <w:lang w:eastAsia="cs-CZ"/>
        </w:rPr>
        <w:t>dodání Předmětu dodávky je rovněž poskytování</w:t>
      </w:r>
      <w:r w:rsidR="004D24FA" w:rsidRPr="002105DC">
        <w:rPr>
          <w:rFonts w:ascii="Times New Roman" w:eastAsia="Times New Roman" w:hAnsi="Times New Roman" w:cs="Times New Roman"/>
          <w:sz w:val="24"/>
          <w:szCs w:val="24"/>
          <w:lang w:eastAsia="cs-CZ"/>
        </w:rPr>
        <w:t xml:space="preserve"> bezplatných</w:t>
      </w:r>
      <w:r w:rsidR="00307325" w:rsidRPr="002105DC">
        <w:rPr>
          <w:rFonts w:ascii="Times New Roman" w:eastAsia="Times New Roman" w:hAnsi="Times New Roman" w:cs="Times New Roman"/>
          <w:sz w:val="24"/>
          <w:szCs w:val="24"/>
          <w:lang w:eastAsia="cs-CZ"/>
        </w:rPr>
        <w:t xml:space="preserve"> telefonických konzultací </w:t>
      </w:r>
      <w:r w:rsidR="00CF42F4" w:rsidRPr="002105DC">
        <w:rPr>
          <w:rFonts w:ascii="Times New Roman" w:eastAsia="Times New Roman" w:hAnsi="Times New Roman" w:cs="Times New Roman"/>
          <w:sz w:val="24"/>
          <w:szCs w:val="24"/>
          <w:lang w:eastAsia="cs-CZ"/>
        </w:rPr>
        <w:t xml:space="preserve">v českém </w:t>
      </w:r>
      <w:r w:rsidR="002105DC" w:rsidRPr="002105DC">
        <w:rPr>
          <w:rFonts w:ascii="Times New Roman" w:eastAsia="Times New Roman" w:hAnsi="Times New Roman" w:cs="Times New Roman"/>
          <w:sz w:val="24"/>
          <w:szCs w:val="24"/>
          <w:lang w:eastAsia="cs-CZ"/>
        </w:rPr>
        <w:t xml:space="preserve">nebo anglickém </w:t>
      </w:r>
      <w:r w:rsidR="00CF42F4" w:rsidRPr="002105DC">
        <w:rPr>
          <w:rFonts w:ascii="Times New Roman" w:eastAsia="Times New Roman" w:hAnsi="Times New Roman" w:cs="Times New Roman"/>
          <w:sz w:val="24"/>
          <w:szCs w:val="24"/>
          <w:lang w:eastAsia="cs-CZ"/>
        </w:rPr>
        <w:t xml:space="preserve">jazyce </w:t>
      </w:r>
      <w:r w:rsidR="00307325" w:rsidRPr="002105DC">
        <w:rPr>
          <w:rFonts w:ascii="Times New Roman" w:eastAsia="Times New Roman" w:hAnsi="Times New Roman" w:cs="Times New Roman"/>
          <w:sz w:val="24"/>
          <w:szCs w:val="24"/>
          <w:lang w:eastAsia="cs-CZ"/>
        </w:rPr>
        <w:t>Dodavatelem Objednateli v pracovní době</w:t>
      </w:r>
      <w:r w:rsidR="004D24FA" w:rsidRPr="002105DC">
        <w:rPr>
          <w:rFonts w:ascii="Times New Roman" w:eastAsia="Times New Roman" w:hAnsi="Times New Roman" w:cs="Times New Roman"/>
          <w:sz w:val="24"/>
          <w:szCs w:val="24"/>
          <w:lang w:eastAsia="cs-CZ"/>
        </w:rPr>
        <w:t xml:space="preserve"> (minimálně v rozsahu od 9:00 </w:t>
      </w:r>
      <w:r w:rsidR="002E37FE" w:rsidRPr="002105DC">
        <w:rPr>
          <w:rFonts w:ascii="Times New Roman" w:eastAsia="Times New Roman" w:hAnsi="Times New Roman" w:cs="Times New Roman"/>
          <w:sz w:val="24"/>
          <w:szCs w:val="24"/>
          <w:lang w:eastAsia="cs-CZ"/>
        </w:rPr>
        <w:t>do 16:00 od pondělí do čtvrtka a od 9:00 do 13:00 v pátek</w:t>
      </w:r>
      <w:r w:rsidR="004D24FA" w:rsidRPr="002105DC">
        <w:rPr>
          <w:rFonts w:ascii="Times New Roman" w:eastAsia="Times New Roman" w:hAnsi="Times New Roman" w:cs="Times New Roman"/>
          <w:sz w:val="24"/>
          <w:szCs w:val="24"/>
          <w:lang w:eastAsia="cs-CZ"/>
        </w:rPr>
        <w:t>)</w:t>
      </w:r>
      <w:r w:rsidR="00307325" w:rsidRPr="002105DC">
        <w:rPr>
          <w:rFonts w:ascii="Times New Roman" w:eastAsia="Times New Roman" w:hAnsi="Times New Roman" w:cs="Times New Roman"/>
          <w:sz w:val="24"/>
          <w:szCs w:val="24"/>
          <w:lang w:eastAsia="cs-CZ"/>
        </w:rPr>
        <w:t>.</w:t>
      </w:r>
    </w:p>
    <w:p w14:paraId="66A62B02" w14:textId="17B8A4D9"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F64188">
        <w:rPr>
          <w:rFonts w:ascii="Times New Roman" w:eastAsia="Times New Roman" w:hAnsi="Times New Roman" w:cs="Times New Roman"/>
          <w:sz w:val="24"/>
          <w:szCs w:val="24"/>
          <w:lang w:eastAsia="cs-CZ"/>
        </w:rPr>
        <w:t>Dodavatel je zároveň povinen provést zaškolení obsluhy</w:t>
      </w:r>
      <w:r>
        <w:rPr>
          <w:rFonts w:ascii="Times New Roman" w:eastAsia="Times New Roman" w:hAnsi="Times New Roman" w:cs="Times New Roman"/>
          <w:sz w:val="24"/>
          <w:szCs w:val="24"/>
          <w:lang w:eastAsia="cs-CZ"/>
        </w:rPr>
        <w:t xml:space="preserve"> Předmětu </w:t>
      </w:r>
      <w:r w:rsidR="0075407E">
        <w:rPr>
          <w:rFonts w:ascii="Times New Roman" w:eastAsia="Times New Roman" w:hAnsi="Times New Roman" w:cs="Times New Roman"/>
          <w:sz w:val="24"/>
          <w:szCs w:val="24"/>
          <w:lang w:eastAsia="cs-CZ"/>
        </w:rPr>
        <w:t xml:space="preserve">dodávky, kterou se </w:t>
      </w:r>
      <w:r w:rsidR="0075407E" w:rsidRPr="00F64188">
        <w:rPr>
          <w:rFonts w:ascii="Times New Roman" w:eastAsia="Times New Roman" w:hAnsi="Times New Roman" w:cs="Times New Roman"/>
          <w:sz w:val="24"/>
          <w:szCs w:val="24"/>
          <w:lang w:eastAsia="cs-CZ"/>
        </w:rPr>
        <w:t>rozumí min</w:t>
      </w:r>
      <w:r w:rsidR="00F64188" w:rsidRPr="00F64188">
        <w:rPr>
          <w:rFonts w:ascii="Times New Roman" w:eastAsia="Times New Roman" w:hAnsi="Times New Roman" w:cs="Times New Roman"/>
          <w:sz w:val="24"/>
          <w:szCs w:val="24"/>
          <w:lang w:eastAsia="cs-CZ"/>
        </w:rPr>
        <w:t>. 2</w:t>
      </w:r>
      <w:r w:rsidRPr="00F64188">
        <w:rPr>
          <w:rFonts w:ascii="Times New Roman" w:eastAsia="Times New Roman" w:hAnsi="Times New Roman" w:cs="Times New Roman"/>
          <w:sz w:val="24"/>
          <w:szCs w:val="24"/>
          <w:lang w:eastAsia="cs-CZ"/>
        </w:rPr>
        <w:t xml:space="preserve"> pracovníci</w:t>
      </w:r>
      <w:r>
        <w:rPr>
          <w:rFonts w:ascii="Times New Roman" w:eastAsia="Times New Roman" w:hAnsi="Times New Roman" w:cs="Times New Roman"/>
          <w:sz w:val="24"/>
          <w:szCs w:val="24"/>
          <w:lang w:eastAsia="cs-CZ"/>
        </w:rPr>
        <w:t xml:space="preserve"> Objednatele, a to:</w:t>
      </w:r>
    </w:p>
    <w:p w14:paraId="0FCCD6BA" w14:textId="5DC5DA86" w:rsidR="0011072C"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zaškolení </w:t>
      </w:r>
      <w:r w:rsidR="002E37FE" w:rsidRPr="002105DC">
        <w:rPr>
          <w:rFonts w:ascii="Times New Roman" w:eastAsia="Times New Roman" w:hAnsi="Times New Roman" w:cs="Times New Roman"/>
          <w:sz w:val="24"/>
          <w:szCs w:val="24"/>
          <w:lang w:eastAsia="cs-CZ"/>
        </w:rPr>
        <w:t>v</w:t>
      </w:r>
      <w:r w:rsidR="002105DC" w:rsidRPr="002105DC">
        <w:rPr>
          <w:rFonts w:ascii="Times New Roman" w:eastAsia="Times New Roman" w:hAnsi="Times New Roman" w:cs="Times New Roman"/>
          <w:sz w:val="24"/>
          <w:szCs w:val="24"/>
          <w:lang w:eastAsia="cs-CZ"/>
        </w:rPr>
        <w:t> </w:t>
      </w:r>
      <w:r w:rsidR="002E37FE" w:rsidRPr="002105DC">
        <w:rPr>
          <w:rFonts w:ascii="Times New Roman" w:eastAsia="Times New Roman" w:hAnsi="Times New Roman" w:cs="Times New Roman"/>
          <w:sz w:val="24"/>
          <w:szCs w:val="24"/>
          <w:lang w:eastAsia="cs-CZ"/>
        </w:rPr>
        <w:t>českém</w:t>
      </w:r>
      <w:r w:rsidR="002105DC" w:rsidRPr="002105DC">
        <w:rPr>
          <w:rFonts w:ascii="Times New Roman" w:eastAsia="Times New Roman" w:hAnsi="Times New Roman" w:cs="Times New Roman"/>
          <w:sz w:val="24"/>
          <w:szCs w:val="24"/>
          <w:lang w:eastAsia="cs-CZ"/>
        </w:rPr>
        <w:t xml:space="preserve"> nebo anglickém</w:t>
      </w:r>
      <w:r w:rsidR="002E37FE" w:rsidRPr="002105DC">
        <w:rPr>
          <w:rFonts w:ascii="Times New Roman" w:eastAsia="Times New Roman" w:hAnsi="Times New Roman" w:cs="Times New Roman"/>
          <w:sz w:val="24"/>
          <w:szCs w:val="24"/>
          <w:lang w:eastAsia="cs-CZ"/>
        </w:rPr>
        <w:t xml:space="preserve"> jazyce</w:t>
      </w:r>
      <w:r w:rsidR="002E37FE">
        <w:rPr>
          <w:rFonts w:ascii="Times New Roman" w:eastAsia="Times New Roman" w:hAnsi="Times New Roman" w:cs="Times New Roman"/>
          <w:sz w:val="24"/>
          <w:szCs w:val="24"/>
          <w:lang w:eastAsia="cs-CZ"/>
        </w:rPr>
        <w:t xml:space="preserve"> </w:t>
      </w:r>
      <w:r w:rsidR="00F64188">
        <w:rPr>
          <w:rFonts w:ascii="Times New Roman" w:eastAsia="Times New Roman" w:hAnsi="Times New Roman" w:cs="Times New Roman"/>
          <w:sz w:val="24"/>
          <w:szCs w:val="24"/>
          <w:lang w:eastAsia="cs-CZ"/>
        </w:rPr>
        <w:t xml:space="preserve">v rozsahu 1 pracovního dne </w:t>
      </w:r>
      <w:r>
        <w:rPr>
          <w:rFonts w:ascii="Times New Roman" w:eastAsia="Times New Roman" w:hAnsi="Times New Roman" w:cs="Times New Roman"/>
          <w:sz w:val="24"/>
          <w:szCs w:val="24"/>
          <w:lang w:eastAsia="cs-CZ"/>
        </w:rPr>
        <w:t>bezprostředně po</w:t>
      </w:r>
      <w:r w:rsidR="002E37FE">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instalaci; zaškolení musí být vedeno v rozsahu nezbytných vědomostí pro řádné užívání a obsluhování Předmětu dodávky; a</w:t>
      </w:r>
    </w:p>
    <w:p w14:paraId="40565FBB" w14:textId="4829B267" w:rsidR="0011072C" w:rsidRPr="005003F2"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zaškolení v</w:t>
      </w:r>
      <w:r w:rsidR="00307358">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českém</w:t>
      </w:r>
      <w:r w:rsidR="00307358">
        <w:rPr>
          <w:rFonts w:ascii="Times New Roman" w:eastAsia="Times New Roman" w:hAnsi="Times New Roman" w:cs="Times New Roman"/>
          <w:sz w:val="24"/>
          <w:szCs w:val="24"/>
          <w:lang w:eastAsia="cs-CZ"/>
        </w:rPr>
        <w:t xml:space="preserve"> nebo anglickém</w:t>
      </w:r>
      <w:r>
        <w:rPr>
          <w:rFonts w:ascii="Times New Roman" w:eastAsia="Times New Roman" w:hAnsi="Times New Roman" w:cs="Times New Roman"/>
          <w:sz w:val="24"/>
          <w:szCs w:val="24"/>
          <w:lang w:eastAsia="cs-CZ"/>
        </w:rPr>
        <w:t xml:space="preserve"> jazyce v </w:t>
      </w:r>
      <w:r w:rsidRPr="00F64188">
        <w:rPr>
          <w:rFonts w:ascii="Times New Roman" w:eastAsia="Times New Roman" w:hAnsi="Times New Roman" w:cs="Times New Roman"/>
          <w:sz w:val="24"/>
          <w:szCs w:val="24"/>
          <w:lang w:eastAsia="cs-CZ"/>
        </w:rPr>
        <w:t xml:space="preserve">rozsahu nejméně 1 pracovní den, a to nejpozději </w:t>
      </w:r>
      <w:r w:rsidR="00F64188" w:rsidRPr="00F64188">
        <w:rPr>
          <w:rFonts w:ascii="Times New Roman" w:eastAsia="Times New Roman" w:hAnsi="Times New Roman" w:cs="Times New Roman"/>
          <w:sz w:val="24"/>
          <w:szCs w:val="24"/>
          <w:lang w:eastAsia="cs-CZ"/>
        </w:rPr>
        <w:t>do 5 měsíců</w:t>
      </w:r>
      <w:r w:rsidRPr="00F64188">
        <w:rPr>
          <w:rFonts w:ascii="Times New Roman" w:eastAsia="Times New Roman" w:hAnsi="Times New Roman" w:cs="Times New Roman"/>
          <w:sz w:val="24"/>
          <w:szCs w:val="24"/>
          <w:lang w:eastAsia="cs-CZ"/>
        </w:rPr>
        <w:t xml:space="preserve"> od instalace</w:t>
      </w:r>
      <w:r w:rsidR="0065520F" w:rsidRPr="00F64188">
        <w:rPr>
          <w:rFonts w:ascii="Times New Roman" w:eastAsia="Times New Roman" w:hAnsi="Times New Roman" w:cs="Times New Roman"/>
          <w:sz w:val="24"/>
          <w:szCs w:val="24"/>
          <w:lang w:eastAsia="cs-CZ"/>
        </w:rPr>
        <w:t>.</w:t>
      </w:r>
      <w:r w:rsidR="00536BD8" w:rsidRPr="00F64188">
        <w:rPr>
          <w:rFonts w:ascii="Times New Roman" w:eastAsia="Times New Roman" w:hAnsi="Times New Roman" w:cs="Times New Roman"/>
          <w:sz w:val="24"/>
          <w:szCs w:val="24"/>
          <w:lang w:eastAsia="cs-CZ"/>
        </w:rPr>
        <w:t xml:space="preserve"> Termín zaškolení musí být odsouhlasen Objednatelem.</w:t>
      </w:r>
      <w:r w:rsidRPr="00F64188">
        <w:rPr>
          <w:rFonts w:ascii="Times New Roman" w:eastAsia="Times New Roman" w:hAnsi="Times New Roman" w:cs="Times New Roman"/>
          <w:sz w:val="24"/>
          <w:szCs w:val="24"/>
          <w:lang w:eastAsia="cs-CZ"/>
        </w:rPr>
        <w:t xml:space="preserve"> </w:t>
      </w:r>
      <w:r w:rsidR="00536BD8" w:rsidRPr="00F64188">
        <w:rPr>
          <w:rFonts w:ascii="Times New Roman" w:eastAsia="Times New Roman" w:hAnsi="Times New Roman" w:cs="Times New Roman"/>
          <w:sz w:val="24"/>
          <w:szCs w:val="24"/>
          <w:lang w:eastAsia="cs-CZ"/>
        </w:rPr>
        <w:t>Věcná náplň z</w:t>
      </w:r>
      <w:r w:rsidR="00C9683D" w:rsidRPr="00F64188">
        <w:rPr>
          <w:rFonts w:ascii="Times New Roman" w:eastAsia="Times New Roman" w:hAnsi="Times New Roman" w:cs="Times New Roman"/>
          <w:sz w:val="24"/>
          <w:szCs w:val="24"/>
          <w:lang w:eastAsia="cs-CZ"/>
        </w:rPr>
        <w:t>aškolení</w:t>
      </w:r>
      <w:r w:rsidR="00C9683D">
        <w:rPr>
          <w:rFonts w:ascii="Times New Roman" w:eastAsia="Times New Roman" w:hAnsi="Times New Roman" w:cs="Times New Roman"/>
          <w:sz w:val="24"/>
          <w:szCs w:val="24"/>
          <w:lang w:eastAsia="cs-CZ"/>
        </w:rPr>
        <w:t xml:space="preserve"> musí </w:t>
      </w:r>
      <w:r w:rsidR="002E37FE">
        <w:rPr>
          <w:rFonts w:ascii="Times New Roman" w:eastAsia="Times New Roman" w:hAnsi="Times New Roman" w:cs="Times New Roman"/>
          <w:sz w:val="24"/>
          <w:szCs w:val="24"/>
          <w:lang w:eastAsia="cs-CZ"/>
        </w:rPr>
        <w:t>odpovídat</w:t>
      </w:r>
      <w:r w:rsidR="00C9683D">
        <w:rPr>
          <w:rFonts w:ascii="Times New Roman" w:eastAsia="Times New Roman" w:hAnsi="Times New Roman" w:cs="Times New Roman"/>
          <w:sz w:val="24"/>
          <w:szCs w:val="24"/>
          <w:lang w:eastAsia="cs-CZ"/>
        </w:rPr>
        <w:t xml:space="preserve"> požadavk</w:t>
      </w:r>
      <w:r w:rsidR="00CF42F4">
        <w:rPr>
          <w:rFonts w:ascii="Times New Roman" w:eastAsia="Times New Roman" w:hAnsi="Times New Roman" w:cs="Times New Roman"/>
          <w:sz w:val="24"/>
          <w:szCs w:val="24"/>
          <w:lang w:eastAsia="cs-CZ"/>
        </w:rPr>
        <w:t>ům</w:t>
      </w:r>
      <w:r w:rsidR="00C9683D">
        <w:rPr>
          <w:rFonts w:ascii="Times New Roman" w:eastAsia="Times New Roman" w:hAnsi="Times New Roman" w:cs="Times New Roman"/>
          <w:sz w:val="24"/>
          <w:szCs w:val="24"/>
          <w:lang w:eastAsia="cs-CZ"/>
        </w:rPr>
        <w:t xml:space="preserve"> </w:t>
      </w:r>
      <w:r w:rsidR="002E37FE">
        <w:rPr>
          <w:rFonts w:ascii="Times New Roman" w:eastAsia="Times New Roman" w:hAnsi="Times New Roman" w:cs="Times New Roman"/>
          <w:sz w:val="24"/>
          <w:szCs w:val="24"/>
          <w:lang w:eastAsia="cs-CZ"/>
        </w:rPr>
        <w:t>O</w:t>
      </w:r>
      <w:r w:rsidR="00C9683D" w:rsidRPr="00F64188">
        <w:rPr>
          <w:rFonts w:ascii="Times New Roman" w:eastAsia="Times New Roman" w:hAnsi="Times New Roman" w:cs="Times New Roman"/>
          <w:sz w:val="24"/>
          <w:szCs w:val="24"/>
          <w:lang w:eastAsia="cs-CZ"/>
        </w:rPr>
        <w:t>bjednatele, předmětem zaškolení bude doplnění informací týkajících se funkce přístroje a</w:t>
      </w:r>
      <w:r w:rsidR="002E37FE">
        <w:rPr>
          <w:rFonts w:ascii="Times New Roman" w:eastAsia="Times New Roman" w:hAnsi="Times New Roman" w:cs="Times New Roman"/>
          <w:sz w:val="24"/>
          <w:szCs w:val="24"/>
          <w:lang w:eastAsia="cs-CZ"/>
        </w:rPr>
        <w:t> </w:t>
      </w:r>
      <w:r w:rsidR="00C9683D" w:rsidRPr="00F64188">
        <w:rPr>
          <w:rFonts w:ascii="Times New Roman" w:eastAsia="Times New Roman" w:hAnsi="Times New Roman" w:cs="Times New Roman"/>
          <w:sz w:val="24"/>
          <w:szCs w:val="24"/>
          <w:lang w:eastAsia="cs-CZ"/>
        </w:rPr>
        <w:t>odpovědi</w:t>
      </w:r>
      <w:r w:rsidR="00C9683D">
        <w:rPr>
          <w:rFonts w:ascii="Times New Roman" w:eastAsia="Times New Roman" w:hAnsi="Times New Roman" w:cs="Times New Roman"/>
          <w:sz w:val="24"/>
          <w:szCs w:val="24"/>
          <w:lang w:eastAsia="cs-CZ"/>
        </w:rPr>
        <w:t xml:space="preserve"> Dodavatele na dotazy pracovníků Objednatele.</w:t>
      </w:r>
    </w:p>
    <w:p w14:paraId="354D1DDE" w14:textId="1AE07C58" w:rsidR="0011072C" w:rsidRPr="00855785" w:rsidRDefault="0011072C" w:rsidP="00855785">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w:t>
      </w:r>
      <w:r w:rsidR="002E37FE">
        <w:rPr>
          <w:rFonts w:ascii="Times New Roman" w:eastAsia="Times New Roman" w:hAnsi="Times New Roman" w:cs="Times New Roman"/>
          <w:sz w:val="24"/>
          <w:szCs w:val="24"/>
          <w:lang w:eastAsia="cs-CZ"/>
        </w:rPr>
        <w:t> </w:t>
      </w:r>
      <w:r w:rsidR="007C448D">
        <w:rPr>
          <w:rFonts w:ascii="Times New Roman" w:eastAsia="Times New Roman" w:hAnsi="Times New Roman" w:cs="Times New Roman"/>
          <w:sz w:val="24"/>
          <w:szCs w:val="24"/>
          <w:lang w:eastAsia="cs-CZ"/>
        </w:rPr>
        <w:t>služby</w:t>
      </w:r>
      <w:r>
        <w:rPr>
          <w:rFonts w:ascii="Times New Roman" w:eastAsia="Times New Roman" w:hAnsi="Times New Roman" w:cs="Times New Roman"/>
          <w:sz w:val="24"/>
          <w:szCs w:val="24"/>
          <w:lang w:eastAsia="cs-CZ"/>
        </w:rPr>
        <w:t xml:space="preserve">: </w:t>
      </w:r>
    </w:p>
    <w:p w14:paraId="6A7F9893" w14:textId="504B6012" w:rsidR="0011072C" w:rsidRPr="001D59E4" w:rsidRDefault="0011072C" w:rsidP="006A2F0D">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A64F10">
        <w:rPr>
          <w:rFonts w:ascii="Times New Roman" w:eastAsia="Times New Roman" w:hAnsi="Times New Roman" w:cs="Times New Roman"/>
          <w:sz w:val="24"/>
          <w:szCs w:val="24"/>
          <w:lang w:eastAsia="cs-CZ"/>
        </w:rPr>
        <w:t>;</w:t>
      </w:r>
    </w:p>
    <w:p w14:paraId="3C0D31D2" w14:textId="2B3BA7BC" w:rsidR="0011072C" w:rsidRPr="001D59E4" w:rsidRDefault="000671E2" w:rsidP="006A2F0D">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98AA477" w:rsidR="007C448D" w:rsidRDefault="0011072C" w:rsidP="006A2F0D">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07D48EA5" w14:textId="3F194E64" w:rsidR="007C448D" w:rsidRPr="00F64188" w:rsidRDefault="00F64188" w:rsidP="006A2F0D">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F64188">
        <w:rPr>
          <w:rFonts w:ascii="Times New Roman" w:eastAsia="Times New Roman" w:hAnsi="Times New Roman" w:cs="Times New Roman"/>
          <w:sz w:val="24"/>
          <w:szCs w:val="24"/>
          <w:lang w:eastAsia="cs-CZ"/>
        </w:rPr>
        <w:t>Valid</w:t>
      </w:r>
      <w:r w:rsidR="0075407E" w:rsidRPr="00F64188">
        <w:rPr>
          <w:rFonts w:ascii="Times New Roman" w:eastAsia="Times New Roman" w:hAnsi="Times New Roman" w:cs="Times New Roman"/>
          <w:sz w:val="24"/>
          <w:szCs w:val="24"/>
          <w:lang w:eastAsia="cs-CZ"/>
        </w:rPr>
        <w:t xml:space="preserve">ace vč. </w:t>
      </w:r>
      <w:r w:rsidRPr="00F64188">
        <w:rPr>
          <w:rFonts w:ascii="Times New Roman" w:eastAsia="Times New Roman" w:hAnsi="Times New Roman" w:cs="Times New Roman"/>
          <w:sz w:val="24"/>
          <w:szCs w:val="24"/>
          <w:lang w:eastAsia="cs-CZ"/>
        </w:rPr>
        <w:t>Valid</w:t>
      </w:r>
      <w:r w:rsidR="0075407E" w:rsidRPr="00F64188">
        <w:rPr>
          <w:rFonts w:ascii="Times New Roman" w:eastAsia="Times New Roman" w:hAnsi="Times New Roman" w:cs="Times New Roman"/>
          <w:sz w:val="24"/>
          <w:szCs w:val="24"/>
          <w:lang w:eastAsia="cs-CZ"/>
        </w:rPr>
        <w:t>ačního listu</w:t>
      </w:r>
      <w:r w:rsidR="007C448D" w:rsidRPr="00F64188">
        <w:rPr>
          <w:rFonts w:ascii="Times New Roman" w:eastAsia="Times New Roman" w:hAnsi="Times New Roman" w:cs="Times New Roman"/>
          <w:sz w:val="24"/>
          <w:szCs w:val="24"/>
          <w:lang w:eastAsia="cs-CZ"/>
        </w:rPr>
        <w:t>;</w:t>
      </w:r>
    </w:p>
    <w:p w14:paraId="7D7E18DC" w14:textId="274DD278" w:rsidR="007C448D" w:rsidRDefault="007C448D" w:rsidP="00CF42F4">
      <w:pPr>
        <w:pStyle w:val="Odstavecseseznamem"/>
        <w:numPr>
          <w:ilvl w:val="1"/>
          <w:numId w:val="39"/>
        </w:numPr>
        <w:spacing w:after="120"/>
        <w:ind w:left="1077" w:hanging="357"/>
        <w:contextualSpacing w:val="0"/>
        <w:jc w:val="both"/>
        <w:rPr>
          <w:rFonts w:ascii="Times New Roman" w:hAnsi="Times New Roman"/>
          <w:sz w:val="24"/>
          <w:szCs w:val="24"/>
        </w:rPr>
      </w:pPr>
      <w:r w:rsidRPr="00F64188">
        <w:rPr>
          <w:rFonts w:ascii="Times New Roman" w:eastAsia="Times New Roman" w:hAnsi="Times New Roman" w:cs="Times New Roman"/>
          <w:sz w:val="24"/>
          <w:szCs w:val="24"/>
          <w:lang w:eastAsia="cs-CZ"/>
        </w:rPr>
        <w:t>servisní</w:t>
      </w:r>
      <w:r w:rsidRPr="00F64188">
        <w:rPr>
          <w:rFonts w:ascii="Times New Roman" w:hAnsi="Times New Roman"/>
          <w:sz w:val="24"/>
          <w:szCs w:val="24"/>
        </w:rPr>
        <w:t xml:space="preserve"> práce obsahující </w:t>
      </w:r>
      <w:r w:rsidR="00F64188" w:rsidRPr="00F64188">
        <w:rPr>
          <w:rFonts w:ascii="Times New Roman" w:hAnsi="Times New Roman"/>
          <w:sz w:val="24"/>
          <w:szCs w:val="24"/>
        </w:rPr>
        <w:t>validaci</w:t>
      </w:r>
      <w:r w:rsidRPr="00F64188">
        <w:rPr>
          <w:rFonts w:ascii="Times New Roman" w:hAnsi="Times New Roman"/>
          <w:sz w:val="24"/>
          <w:szCs w:val="24"/>
        </w:rPr>
        <w:t xml:space="preserve"> a kompletní kontrolu přís</w:t>
      </w:r>
      <w:r w:rsidR="00F64188" w:rsidRPr="00F64188">
        <w:rPr>
          <w:rFonts w:ascii="Times New Roman" w:hAnsi="Times New Roman"/>
          <w:sz w:val="24"/>
          <w:szCs w:val="24"/>
        </w:rPr>
        <w:t>troje jedenkrát za rok po dobu 3</w:t>
      </w:r>
      <w:r w:rsidRPr="00F64188">
        <w:rPr>
          <w:rFonts w:ascii="Times New Roman" w:hAnsi="Times New Roman"/>
          <w:sz w:val="24"/>
          <w:szCs w:val="24"/>
        </w:rPr>
        <w:t xml:space="preserve"> let následujících po instalaci.</w:t>
      </w:r>
    </w:p>
    <w:p w14:paraId="010E86E6" w14:textId="046E67F7" w:rsidR="007417C6" w:rsidRPr="00F64188" w:rsidRDefault="007417C6" w:rsidP="00CF42F4">
      <w:pPr>
        <w:pStyle w:val="Odstavecseseznamem"/>
        <w:numPr>
          <w:ilvl w:val="1"/>
          <w:numId w:val="39"/>
        </w:numPr>
        <w:ind w:left="1077" w:hanging="357"/>
        <w:contextualSpacing w:val="0"/>
        <w:jc w:val="both"/>
        <w:rPr>
          <w:rFonts w:ascii="Times New Roman" w:hAnsi="Times New Roman"/>
          <w:sz w:val="24"/>
          <w:szCs w:val="24"/>
        </w:rPr>
      </w:pPr>
      <w:r>
        <w:rPr>
          <w:rFonts w:ascii="Times New Roman" w:hAnsi="Times New Roman"/>
          <w:sz w:val="24"/>
          <w:szCs w:val="24"/>
        </w:rPr>
        <w:t>s</w:t>
      </w:r>
      <w:r w:rsidRPr="007417C6">
        <w:rPr>
          <w:rFonts w:ascii="Times New Roman" w:hAnsi="Times New Roman"/>
          <w:sz w:val="24"/>
          <w:szCs w:val="24"/>
        </w:rPr>
        <w:t>potřební materiál navíc oproti běžně dodávanému, který je specifikován v příslušné příloze s technickou specifikací přístroje</w:t>
      </w:r>
      <w:r>
        <w:rPr>
          <w:rFonts w:ascii="Times New Roman" w:hAnsi="Times New Roman"/>
          <w:sz w:val="24"/>
          <w:szCs w:val="24"/>
        </w:rPr>
        <w:t>.</w:t>
      </w:r>
    </w:p>
    <w:p w14:paraId="52BA1D8C" w14:textId="5F77AB73" w:rsidR="0011072C" w:rsidRPr="007C448D" w:rsidRDefault="00DE4885" w:rsidP="00CF42F4">
      <w:pPr>
        <w:jc w:val="both"/>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6F901BC2"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6514C2">
        <w:rPr>
          <w:rFonts w:ascii="Times New Roman" w:eastAsia="Times New Roman" w:hAnsi="Times New Roman" w:cs="Times New Roman"/>
          <w:sz w:val="24"/>
          <w:szCs w:val="24"/>
          <w:lang w:eastAsia="cs-CZ"/>
        </w:rPr>
        <w:t xml:space="preserve">Dodavatel je </w:t>
      </w:r>
      <w:r w:rsidR="008B66EA" w:rsidRPr="00F64188">
        <w:rPr>
          <w:rFonts w:ascii="Times New Roman" w:eastAsia="Times New Roman" w:hAnsi="Times New Roman" w:cs="Times New Roman"/>
          <w:sz w:val="24"/>
          <w:szCs w:val="24"/>
          <w:lang w:eastAsia="cs-CZ"/>
        </w:rPr>
        <w:t xml:space="preserve">povinen </w:t>
      </w:r>
      <w:r w:rsidR="0075407E" w:rsidRPr="00F64188">
        <w:rPr>
          <w:rFonts w:ascii="Times New Roman" w:eastAsia="Times New Roman" w:hAnsi="Times New Roman" w:cs="Times New Roman"/>
          <w:sz w:val="24"/>
          <w:szCs w:val="24"/>
          <w:lang w:eastAsia="cs-CZ"/>
        </w:rPr>
        <w:t>minimálně 15</w:t>
      </w:r>
      <w:r w:rsidR="008B66EA" w:rsidRPr="00F64188">
        <w:rPr>
          <w:rFonts w:ascii="Times New Roman" w:eastAsia="Times New Roman" w:hAnsi="Times New Roman" w:cs="Times New Roman"/>
          <w:sz w:val="24"/>
          <w:szCs w:val="24"/>
          <w:lang w:eastAsia="cs-CZ"/>
        </w:rPr>
        <w:t xml:space="preserve"> dnů</w:t>
      </w:r>
      <w:r w:rsidR="008B66EA" w:rsidRPr="006514C2">
        <w:rPr>
          <w:rFonts w:ascii="Times New Roman" w:eastAsia="Times New Roman" w:hAnsi="Times New Roman" w:cs="Times New Roman"/>
          <w:sz w:val="24"/>
          <w:szCs w:val="24"/>
          <w:lang w:eastAsia="cs-CZ"/>
        </w:rPr>
        <w:t xml:space="preserve"> před termínem dodání Předmětu dodávky písemně sdělit Objednateli, jaká součinnost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2548C934"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00CF42F4">
        <w:rPr>
          <w:rFonts w:ascii="Times New Roman" w:eastAsia="Times New Roman" w:hAnsi="Times New Roman" w:cs="Times New Roman"/>
          <w:sz w:val="24"/>
          <w:szCs w:val="24"/>
          <w:lang w:eastAsia="cs-CZ"/>
        </w:rPr>
        <w:t>, mimo jiné i s podmínkami vyplývajícími ze zadávací dokumentace Veřejné zakázky, které jsou pro Dodavatele závazné</w:t>
      </w:r>
      <w:r w:rsidRPr="005F5C04">
        <w:rPr>
          <w:rFonts w:ascii="Times New Roman" w:eastAsia="Times New Roman" w:hAnsi="Times New Roman" w:cs="Times New Roman"/>
          <w:sz w:val="24"/>
          <w:szCs w:val="24"/>
          <w:lang w:eastAsia="cs-CZ"/>
        </w:rPr>
        <w:t xml:space="preserve">. </w:t>
      </w:r>
    </w:p>
    <w:p w14:paraId="0A6E1F86" w14:textId="6CEA1C16" w:rsidR="00B84F19"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w:t>
      </w:r>
      <w:r w:rsidR="00D474DE">
        <w:rPr>
          <w:rFonts w:ascii="Times New Roman" w:eastAsia="Times New Roman" w:hAnsi="Times New Roman" w:cs="Times New Roman"/>
          <w:sz w:val="24"/>
          <w:szCs w:val="24"/>
          <w:lang w:eastAsia="cs-CZ"/>
        </w:rPr>
        <w:t>, technické normy (ČSN)</w:t>
      </w:r>
      <w:r w:rsidRPr="006514C2">
        <w:rPr>
          <w:rFonts w:ascii="Times New Roman" w:eastAsia="Times New Roman" w:hAnsi="Times New Roman" w:cs="Times New Roman"/>
          <w:sz w:val="24"/>
          <w:szCs w:val="24"/>
          <w:lang w:eastAsia="cs-CZ"/>
        </w:rPr>
        <w:t xml:space="preserv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418C9CA0" w14:textId="2B34019A" w:rsidR="00E05525" w:rsidRPr="006514C2" w:rsidRDefault="00E8782E"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se zavazuje provést 1x ročně </w:t>
      </w:r>
      <w:r w:rsidR="0039381B">
        <w:rPr>
          <w:rFonts w:ascii="Times New Roman" w:eastAsia="Times New Roman" w:hAnsi="Times New Roman" w:cs="Times New Roman"/>
          <w:sz w:val="24"/>
          <w:szCs w:val="24"/>
          <w:lang w:eastAsia="cs-CZ"/>
        </w:rPr>
        <w:t xml:space="preserve">v následujících třech letech </w:t>
      </w:r>
      <w:r>
        <w:rPr>
          <w:rFonts w:ascii="Times New Roman" w:eastAsia="Times New Roman" w:hAnsi="Times New Roman" w:cs="Times New Roman"/>
          <w:sz w:val="24"/>
          <w:szCs w:val="24"/>
          <w:lang w:eastAsia="cs-CZ"/>
        </w:rPr>
        <w:t>po předání Předmětu dodávky pravidelnou</w:t>
      </w:r>
      <w:r w:rsidRPr="00E8782E">
        <w:rPr>
          <w:rFonts w:ascii="Times New Roman" w:eastAsia="Times New Roman" w:hAnsi="Times New Roman" w:cs="Times New Roman"/>
          <w:sz w:val="24"/>
          <w:szCs w:val="24"/>
          <w:lang w:eastAsia="cs-CZ"/>
        </w:rPr>
        <w:t xml:space="preserve"> servisní a kontrolní (validační) prohlídk</w:t>
      </w:r>
      <w:r>
        <w:rPr>
          <w:rFonts w:ascii="Times New Roman" w:eastAsia="Times New Roman" w:hAnsi="Times New Roman" w:cs="Times New Roman"/>
          <w:sz w:val="24"/>
          <w:szCs w:val="24"/>
          <w:lang w:eastAsia="cs-CZ"/>
        </w:rPr>
        <w:t>u Předmětu dodávky, a to v termínu určeném po dohodě s Objednatelem.</w:t>
      </w:r>
    </w:p>
    <w:p w14:paraId="76BEA245" w14:textId="77777777" w:rsidR="00D47DDE" w:rsidRPr="00CF42F4" w:rsidRDefault="00D47DDE" w:rsidP="00CF42F4">
      <w:pPr>
        <w:tabs>
          <w:tab w:val="left" w:pos="426"/>
        </w:tabs>
        <w:suppressAutoHyphens/>
        <w:autoSpaceDN w:val="0"/>
        <w:spacing w:before="120" w:after="120" w:line="240" w:lineRule="auto"/>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310EE94D" w:rsidR="00656FF0" w:rsidRPr="006514C2" w:rsidRDefault="00F3219A"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se </w:t>
      </w:r>
      <w:r w:rsidR="00656FF0">
        <w:rPr>
          <w:rFonts w:ascii="Times New Roman" w:eastAsia="Times New Roman" w:hAnsi="Times New Roman" w:cs="Times New Roman"/>
          <w:sz w:val="24"/>
          <w:szCs w:val="24"/>
          <w:lang w:eastAsia="cs-CZ"/>
        </w:rPr>
        <w:t>Objednatel</w:t>
      </w:r>
      <w:r w:rsidR="00656FF0" w:rsidRPr="006514C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stane</w:t>
      </w:r>
      <w:r w:rsidR="00656FF0" w:rsidRPr="006514C2">
        <w:rPr>
          <w:rFonts w:ascii="Times New Roman" w:eastAsia="Times New Roman" w:hAnsi="Times New Roman" w:cs="Times New Roman"/>
          <w:sz w:val="24"/>
          <w:szCs w:val="24"/>
          <w:lang w:eastAsia="cs-CZ"/>
        </w:rPr>
        <w:t xml:space="preserve"> výlučným vlastníkem Předmětu </w:t>
      </w:r>
      <w:r w:rsidR="00656FF0">
        <w:rPr>
          <w:rFonts w:ascii="Times New Roman" w:eastAsia="Times New Roman" w:hAnsi="Times New Roman" w:cs="Times New Roman"/>
          <w:sz w:val="24"/>
          <w:szCs w:val="24"/>
          <w:lang w:eastAsia="cs-CZ"/>
        </w:rPr>
        <w:t>dodávky</w:t>
      </w:r>
      <w:r w:rsidR="00656FF0" w:rsidRPr="006514C2">
        <w:rPr>
          <w:rFonts w:ascii="Times New Roman" w:eastAsia="Times New Roman" w:hAnsi="Times New Roman" w:cs="Times New Roman"/>
          <w:sz w:val="24"/>
          <w:szCs w:val="24"/>
          <w:lang w:eastAsia="cs-CZ"/>
        </w:rPr>
        <w:t>;</w:t>
      </w:r>
    </w:p>
    <w:p w14:paraId="0A893B0A" w14:textId="36ABC6CF"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w:t>
      </w:r>
      <w:r w:rsidR="00CF42F4">
        <w:rPr>
          <w:rFonts w:ascii="Times New Roman" w:eastAsia="Times New Roman" w:hAnsi="Times New Roman" w:cs="Times New Roman"/>
          <w:sz w:val="24"/>
          <w:szCs w:val="24"/>
          <w:lang w:eastAsia="cs-CZ"/>
        </w:rPr>
        <w:t xml:space="preserve">veškeré </w:t>
      </w:r>
      <w:r w:rsidRPr="006514C2">
        <w:rPr>
          <w:rFonts w:ascii="Times New Roman" w:eastAsia="Times New Roman" w:hAnsi="Times New Roman" w:cs="Times New Roman"/>
          <w:sz w:val="24"/>
          <w:szCs w:val="24"/>
          <w:lang w:eastAsia="cs-CZ"/>
        </w:rPr>
        <w:t xml:space="preserve">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728034B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w:t>
      </w:r>
      <w:r w:rsidR="00CB12D2">
        <w:rPr>
          <w:rFonts w:ascii="Times New Roman" w:eastAsia="Times New Roman" w:hAnsi="Times New Roman" w:cs="Times New Roman"/>
          <w:sz w:val="24"/>
          <w:szCs w:val="24"/>
          <w:lang w:eastAsia="cs-CZ"/>
        </w:rPr>
        <w:t xml:space="preserve">je Objednateli poskytnut </w:t>
      </w:r>
      <w:r w:rsidRPr="006514C2">
        <w:rPr>
          <w:rFonts w:ascii="Times New Roman" w:eastAsia="Times New Roman" w:hAnsi="Times New Roman" w:cs="Times New Roman"/>
          <w:sz w:val="24"/>
          <w:szCs w:val="24"/>
          <w:lang w:eastAsia="cs-CZ"/>
        </w:rPr>
        <w:t xml:space="preserve">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1904B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w:t>
      </w:r>
      <w:r w:rsidR="00CB12D2">
        <w:rPr>
          <w:rFonts w:ascii="Times New Roman" w:eastAsia="Times New Roman" w:hAnsi="Times New Roman" w:cs="Times New Roman"/>
          <w:sz w:val="24"/>
          <w:szCs w:val="24"/>
          <w:lang w:eastAsia="cs-CZ"/>
        </w:rPr>
        <w:t> </w:t>
      </w:r>
      <w:r w:rsidRPr="006514C2">
        <w:rPr>
          <w:rFonts w:ascii="Times New Roman" w:eastAsia="Times New Roman" w:hAnsi="Times New Roman" w:cs="Times New Roman"/>
          <w:sz w:val="24"/>
          <w:szCs w:val="24"/>
          <w:lang w:eastAsia="cs-CZ"/>
        </w:rPr>
        <w:t xml:space="preserve">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6ED5CC58"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w:t>
      </w:r>
      <w:r w:rsidR="00CB12D2">
        <w:rPr>
          <w:rFonts w:ascii="Times New Roman" w:eastAsia="Times New Roman" w:hAnsi="Times New Roman" w:cs="Times New Roman"/>
          <w:sz w:val="24"/>
          <w:szCs w:val="24"/>
          <w:lang w:eastAsia="cs-CZ"/>
        </w:rPr>
        <w:t xml:space="preserve"> </w:t>
      </w:r>
      <w:r w:rsidRPr="006514C2">
        <w:rPr>
          <w:rFonts w:ascii="Times New Roman" w:eastAsia="Times New Roman" w:hAnsi="Times New Roman" w:cs="Times New Roman"/>
          <w:sz w:val="24"/>
          <w:szCs w:val="24"/>
          <w:lang w:eastAsia="cs-CZ"/>
        </w:rPr>
        <w:t>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1B0D4834"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nemá žádné dluhy nebo nedoplatky, v jejichž důsledku by mohlo dojít ke zřízení soudcovského zástavního práva, exekutorského zástavního práva nebo zástavního práva dle § 170 zákona č. 280/2009 Sb., daňového řádu, nebo k</w:t>
      </w:r>
      <w:r w:rsidR="00A660A9">
        <w:rPr>
          <w:rFonts w:ascii="Times New Roman" w:eastAsia="Times New Roman" w:hAnsi="Times New Roman" w:cs="Times New Roman"/>
          <w:sz w:val="24"/>
          <w:szCs w:val="24"/>
          <w:lang w:eastAsia="cs-CZ"/>
        </w:rPr>
        <w:t> </w:t>
      </w:r>
      <w:r w:rsidRPr="006514C2">
        <w:rPr>
          <w:rFonts w:ascii="Times New Roman" w:eastAsia="Times New Roman" w:hAnsi="Times New Roman" w:cs="Times New Roman"/>
          <w:sz w:val="24"/>
          <w:szCs w:val="24"/>
          <w:lang w:eastAsia="cs-CZ"/>
        </w:rPr>
        <w:t xml:space="preserve">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40C7AAF5"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w:t>
      </w:r>
      <w:r w:rsidR="00A660A9">
        <w:rPr>
          <w:rFonts w:ascii="Times New Roman" w:eastAsia="Times New Roman" w:hAnsi="Times New Roman" w:cs="Times New Roman"/>
          <w:sz w:val="24"/>
          <w:szCs w:val="24"/>
          <w:lang w:eastAsia="cs-CZ"/>
        </w:rPr>
        <w:t> </w:t>
      </w:r>
      <w:r w:rsidRPr="006514C2">
        <w:rPr>
          <w:rFonts w:ascii="Times New Roman" w:eastAsia="Times New Roman" w:hAnsi="Times New Roman" w:cs="Times New Roman"/>
          <w:sz w:val="24"/>
          <w:szCs w:val="24"/>
          <w:lang w:eastAsia="cs-CZ"/>
        </w:rPr>
        <w:t xml:space="preserve">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w:t>
      </w:r>
      <w:r w:rsidR="00A660A9">
        <w:rPr>
          <w:rFonts w:ascii="Times New Roman" w:eastAsia="Times New Roman" w:hAnsi="Times New Roman" w:cs="Times New Roman"/>
          <w:sz w:val="24"/>
          <w:szCs w:val="24"/>
          <w:lang w:eastAsia="cs-CZ"/>
        </w:rPr>
        <w:t> </w:t>
      </w:r>
      <w:r w:rsidRPr="006514C2">
        <w:rPr>
          <w:rFonts w:ascii="Times New Roman" w:eastAsia="Times New Roman" w:hAnsi="Times New Roman" w:cs="Times New Roman"/>
          <w:sz w:val="24"/>
          <w:szCs w:val="24"/>
          <w:lang w:eastAsia="cs-CZ"/>
        </w:rPr>
        <w:t xml:space="preserve">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6F6517E"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w:t>
      </w:r>
      <w:r w:rsidR="00E944D8">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69D2D4F5"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w:t>
      </w:r>
      <w:r w:rsidR="00CB12D2">
        <w:rPr>
          <w:rFonts w:ascii="Times New Roman" w:hAnsi="Times New Roman"/>
          <w:sz w:val="24"/>
        </w:rPr>
        <w:t xml:space="preserve">stanoví </w:t>
      </w:r>
      <w:r>
        <w:rPr>
          <w:rFonts w:ascii="Times New Roman" w:hAnsi="Times New Roman"/>
          <w:sz w:val="24"/>
        </w:rPr>
        <w:t xml:space="preserve">přiměřenou dobu pro jejich poskytnutí. </w:t>
      </w:r>
    </w:p>
    <w:p w14:paraId="2C7FDC85" w14:textId="72A13C77"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w:t>
      </w:r>
      <w:r w:rsidR="00E944D8">
        <w:rPr>
          <w:rFonts w:ascii="Times New Roman" w:hAnsi="Times New Roman"/>
          <w:sz w:val="24"/>
        </w:rPr>
        <w:t> </w:t>
      </w:r>
      <w:r w:rsidRPr="00570A82">
        <w:rPr>
          <w:rFonts w:ascii="Times New Roman" w:hAnsi="Times New Roman"/>
          <w:sz w:val="24"/>
        </w:rPr>
        <w:t>to ve lhůtě stanovené Objednatelem a způsobem dle požadavku Objednatele.</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66BBB840" w:rsidR="00B84F19" w:rsidRPr="003F4422"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w:t>
      </w:r>
      <w:r w:rsidRPr="00F64188">
        <w:rPr>
          <w:rFonts w:ascii="Times New Roman" w:hAnsi="Times New Roman"/>
          <w:sz w:val="24"/>
        </w:rPr>
        <w:t xml:space="preserve">jeho instalace, zprovoznění, </w:t>
      </w:r>
      <w:r w:rsidR="00D435EE" w:rsidRPr="00F64188">
        <w:rPr>
          <w:rFonts w:ascii="Times New Roman" w:hAnsi="Times New Roman"/>
          <w:sz w:val="24"/>
        </w:rPr>
        <w:t xml:space="preserve">jakož i provedení </w:t>
      </w:r>
      <w:r w:rsidR="00F64188" w:rsidRPr="00F64188">
        <w:rPr>
          <w:rFonts w:ascii="Times New Roman" w:hAnsi="Times New Roman"/>
          <w:sz w:val="24"/>
        </w:rPr>
        <w:t>valid</w:t>
      </w:r>
      <w:r w:rsidR="00D435EE" w:rsidRPr="00F64188">
        <w:rPr>
          <w:rFonts w:ascii="Times New Roman" w:hAnsi="Times New Roman"/>
          <w:sz w:val="24"/>
        </w:rPr>
        <w:t xml:space="preserve">ace včetně vyhotovení </w:t>
      </w:r>
      <w:r w:rsidR="00F64188" w:rsidRPr="00F64188">
        <w:rPr>
          <w:rFonts w:ascii="Times New Roman" w:hAnsi="Times New Roman"/>
          <w:sz w:val="24"/>
        </w:rPr>
        <w:t>valid</w:t>
      </w:r>
      <w:r w:rsidR="00D435EE" w:rsidRPr="00F64188">
        <w:rPr>
          <w:rFonts w:ascii="Times New Roman" w:hAnsi="Times New Roman"/>
          <w:sz w:val="24"/>
        </w:rPr>
        <w:t xml:space="preserve">ačního protokolu, </w:t>
      </w:r>
      <w:r w:rsidR="00A64F10" w:rsidRPr="00F64188">
        <w:rPr>
          <w:rFonts w:ascii="Times New Roman" w:hAnsi="Times New Roman"/>
          <w:sz w:val="24"/>
        </w:rPr>
        <w:t xml:space="preserve">veškeré dokumentace, </w:t>
      </w:r>
      <w:r w:rsidR="00D435EE" w:rsidRPr="00F64188">
        <w:rPr>
          <w:rFonts w:ascii="Times New Roman" w:hAnsi="Times New Roman"/>
          <w:sz w:val="24"/>
        </w:rPr>
        <w:t xml:space="preserve">a dále </w:t>
      </w:r>
      <w:r w:rsidRPr="00F64188">
        <w:rPr>
          <w:rFonts w:ascii="Times New Roman" w:hAnsi="Times New Roman"/>
          <w:sz w:val="24"/>
        </w:rPr>
        <w:t>včetně zaškolení obsluhy v rozsahu zaškolení bezprostředně po instalaci</w:t>
      </w:r>
      <w:r w:rsidR="00D435EE" w:rsidRPr="00F64188">
        <w:rPr>
          <w:rFonts w:ascii="Times New Roman" w:hAnsi="Times New Roman"/>
          <w:sz w:val="24"/>
        </w:rPr>
        <w:t xml:space="preserve"> (článek II.3.a) Smlouvy)</w:t>
      </w:r>
      <w:r w:rsidRPr="00F64188">
        <w:rPr>
          <w:rFonts w:ascii="Times New Roman" w:hAnsi="Times New Roman"/>
          <w:sz w:val="24"/>
        </w:rPr>
        <w:t xml:space="preserve">, </w:t>
      </w:r>
      <w:r w:rsidR="00E944D8" w:rsidRPr="003A01A4">
        <w:rPr>
          <w:rFonts w:ascii="Times New Roman" w:hAnsi="Times New Roman"/>
          <w:b/>
          <w:sz w:val="24"/>
        </w:rPr>
        <w:t xml:space="preserve">nejpozději </w:t>
      </w:r>
      <w:r w:rsidR="00D435EE" w:rsidRPr="00F64188">
        <w:rPr>
          <w:rFonts w:ascii="Times New Roman" w:hAnsi="Times New Roman"/>
          <w:b/>
          <w:sz w:val="24"/>
        </w:rPr>
        <w:t>do</w:t>
      </w:r>
      <w:r w:rsidR="00B84F19" w:rsidRPr="00F64188">
        <w:rPr>
          <w:rFonts w:ascii="Times New Roman" w:hAnsi="Times New Roman"/>
          <w:b/>
          <w:sz w:val="24"/>
        </w:rPr>
        <w:t xml:space="preserve"> </w:t>
      </w:r>
      <w:r w:rsidR="00307358">
        <w:rPr>
          <w:rFonts w:ascii="Times New Roman" w:hAnsi="Times New Roman"/>
          <w:b/>
          <w:sz w:val="24"/>
        </w:rPr>
        <w:t>8</w:t>
      </w:r>
      <w:r w:rsidR="00130609" w:rsidRPr="00F64188">
        <w:rPr>
          <w:rFonts w:ascii="Times New Roman" w:hAnsi="Times New Roman"/>
          <w:b/>
          <w:sz w:val="24"/>
        </w:rPr>
        <w:t>0</w:t>
      </w:r>
      <w:r w:rsidR="00B84F19" w:rsidRPr="00F64188">
        <w:rPr>
          <w:rFonts w:ascii="Times New Roman" w:hAnsi="Times New Roman"/>
          <w:b/>
          <w:sz w:val="24"/>
        </w:rPr>
        <w:t xml:space="preserve"> </w:t>
      </w:r>
      <w:r w:rsidR="00D435EE" w:rsidRPr="00F64188">
        <w:rPr>
          <w:rFonts w:ascii="Times New Roman" w:hAnsi="Times New Roman"/>
          <w:b/>
          <w:sz w:val="24"/>
        </w:rPr>
        <w:t xml:space="preserve">kalendářních dnů </w:t>
      </w:r>
      <w:r w:rsidR="00B84F19" w:rsidRPr="00F64188">
        <w:rPr>
          <w:rFonts w:ascii="Times New Roman" w:hAnsi="Times New Roman"/>
          <w:b/>
          <w:sz w:val="24"/>
        </w:rPr>
        <w:t>od</w:t>
      </w:r>
      <w:r w:rsidR="00E316A3" w:rsidRPr="00F64188">
        <w:rPr>
          <w:rFonts w:ascii="Times New Roman" w:hAnsi="Times New Roman"/>
          <w:b/>
          <w:sz w:val="24"/>
        </w:rPr>
        <w:t>e</w:t>
      </w:r>
      <w:r w:rsidR="00E316A3" w:rsidRPr="003F4422">
        <w:rPr>
          <w:rFonts w:ascii="Times New Roman" w:hAnsi="Times New Roman"/>
          <w:b/>
          <w:sz w:val="24"/>
        </w:rPr>
        <w:t xml:space="preserve"> dne uzavření</w:t>
      </w:r>
      <w:r w:rsidR="00B84F19" w:rsidRPr="003F4422">
        <w:rPr>
          <w:rFonts w:ascii="Times New Roman" w:hAnsi="Times New Roman"/>
          <w:b/>
          <w:sz w:val="24"/>
        </w:rPr>
        <w:t xml:space="preserve"> Smlouvy</w:t>
      </w:r>
      <w:r w:rsidR="00B84F19" w:rsidRPr="003F4422">
        <w:rPr>
          <w:rFonts w:ascii="Times New Roman" w:hAnsi="Times New Roman"/>
          <w:sz w:val="24"/>
        </w:rPr>
        <w:t>.</w:t>
      </w:r>
    </w:p>
    <w:p w14:paraId="2CA52378" w14:textId="5E75E81A" w:rsidR="00D435EE"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Dodavatel se zavazuje provést zaškolení obsluhy dle článk</w:t>
      </w:r>
      <w:r w:rsidR="00F64188">
        <w:rPr>
          <w:rFonts w:ascii="Times New Roman" w:hAnsi="Times New Roman"/>
          <w:sz w:val="24"/>
        </w:rPr>
        <w:t xml:space="preserve">u II.3.b) Smlouvy nejpozději do 5 měsíců </w:t>
      </w:r>
      <w:r>
        <w:rPr>
          <w:rFonts w:ascii="Times New Roman" w:hAnsi="Times New Roman"/>
          <w:sz w:val="24"/>
        </w:rPr>
        <w:t xml:space="preserve">od instalace Předmětu dodávky. Dodavatel je povinen navrhnout Objednateli k výběru konkrétního dne provedení tohoto zaškolení 5 různých pracovních dní v rozmezí alespoň dvou týdnů. </w:t>
      </w:r>
    </w:p>
    <w:p w14:paraId="0CAD22B8" w14:textId="679FAD80"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1E00F1" w:rsidRPr="001E00F1">
        <w:rPr>
          <w:rFonts w:ascii="Times New Roman" w:hAnsi="Times New Roman"/>
          <w:sz w:val="24"/>
        </w:rPr>
        <w:t xml:space="preserve"> oprávněn učinit </w:t>
      </w:r>
      <w:r w:rsidR="00E944D8">
        <w:rPr>
          <w:rFonts w:ascii="Times New Roman" w:hAnsi="Times New Roman"/>
          <w:sz w:val="24"/>
        </w:rPr>
        <w:t xml:space="preserve">kdykoliv, a to i opakovaně, </w:t>
      </w:r>
      <w:r w:rsidR="00536BD8">
        <w:rPr>
          <w:rFonts w:ascii="Times New Roman" w:hAnsi="Times New Roman"/>
          <w:sz w:val="24"/>
        </w:rPr>
        <w:t xml:space="preserve">minimálně </w:t>
      </w:r>
      <w:r w:rsidR="00536BD8" w:rsidRPr="00F64188">
        <w:rPr>
          <w:rFonts w:ascii="Times New Roman" w:hAnsi="Times New Roman"/>
          <w:sz w:val="24"/>
        </w:rPr>
        <w:t xml:space="preserve">po dobu </w:t>
      </w:r>
      <w:r w:rsidR="00F64188" w:rsidRPr="00F64188">
        <w:rPr>
          <w:rFonts w:ascii="Times New Roman" w:hAnsi="Times New Roman"/>
          <w:sz w:val="24"/>
        </w:rPr>
        <w:t>10</w:t>
      </w:r>
      <w:r w:rsidR="00536BD8">
        <w:rPr>
          <w:rFonts w:ascii="Times New Roman" w:hAnsi="Times New Roman"/>
          <w:sz w:val="24"/>
        </w:rPr>
        <w:t xml:space="preserve"> let od převzetí </w:t>
      </w:r>
      <w:r w:rsidR="00E944D8">
        <w:rPr>
          <w:rFonts w:ascii="Times New Roman" w:hAnsi="Times New Roman"/>
          <w:sz w:val="24"/>
        </w:rPr>
        <w:t>P</w:t>
      </w:r>
      <w:r w:rsidR="00536BD8">
        <w:rPr>
          <w:rFonts w:ascii="Times New Roman" w:hAnsi="Times New Roman"/>
          <w:sz w:val="24"/>
        </w:rPr>
        <w:t xml:space="preserve">ředmětu </w:t>
      </w:r>
      <w:r w:rsidR="00E944D8">
        <w:rPr>
          <w:rFonts w:ascii="Times New Roman" w:hAnsi="Times New Roman"/>
          <w:sz w:val="24"/>
        </w:rPr>
        <w:t>dodávky Objednatelem</w:t>
      </w:r>
      <w:r w:rsidR="00536BD8">
        <w:rPr>
          <w:rFonts w:ascii="Times New Roman" w:hAnsi="Times New Roman"/>
          <w:sz w:val="24"/>
        </w:rPr>
        <w:t xml:space="preserve">.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 xml:space="preserve">nejpozději </w:t>
      </w:r>
      <w:r w:rsidR="00094BC6" w:rsidRPr="00C47AE3">
        <w:rPr>
          <w:rFonts w:ascii="Times New Roman" w:hAnsi="Times New Roman"/>
          <w:sz w:val="24"/>
        </w:rPr>
        <w:t>do </w:t>
      </w:r>
      <w:r w:rsidR="00C47AE3" w:rsidRPr="00C47AE3">
        <w:rPr>
          <w:rFonts w:ascii="Times New Roman" w:hAnsi="Times New Roman"/>
          <w:sz w:val="24"/>
        </w:rPr>
        <w:t>72</w:t>
      </w:r>
      <w:r w:rsidR="001E00F1" w:rsidRPr="00C47AE3">
        <w:rPr>
          <w:rFonts w:ascii="Times New Roman" w:hAnsi="Times New Roman"/>
          <w:sz w:val="24"/>
        </w:rPr>
        <w:t xml:space="preserve"> </w:t>
      </w:r>
      <w:r w:rsidR="00094BC6" w:rsidRPr="00C47AE3">
        <w:rPr>
          <w:rFonts w:ascii="Times New Roman" w:hAnsi="Times New Roman"/>
          <w:sz w:val="24"/>
        </w:rPr>
        <w:t>hodin</w:t>
      </w:r>
      <w:r w:rsidR="00094BC6">
        <w:rPr>
          <w:rFonts w:ascii="Times New Roman" w:hAnsi="Times New Roman"/>
          <w:sz w:val="24"/>
        </w:rPr>
        <w:t xml:space="preserve">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w:t>
      </w:r>
      <w:r w:rsidR="00A64F10" w:rsidRPr="005739F6">
        <w:rPr>
          <w:rFonts w:ascii="Times New Roman" w:hAnsi="Times New Roman"/>
          <w:b/>
          <w:sz w:val="24"/>
        </w:rPr>
        <w:t>reakční doba</w:t>
      </w:r>
      <w:r w:rsidR="00A64F10">
        <w:rPr>
          <w:rFonts w:ascii="Times New Roman" w:hAnsi="Times New Roman"/>
          <w:sz w:val="24"/>
        </w:rPr>
        <w:t>“)</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lastRenderedPageBreak/>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 xml:space="preserve">Lhůty pro odstranění závad se řídí analogicky ustanovením čl. IX </w:t>
      </w:r>
      <w:r w:rsidR="000636C9">
        <w:rPr>
          <w:rFonts w:ascii="Times New Roman" w:hAnsi="Times New Roman"/>
          <w:sz w:val="24"/>
        </w:rPr>
        <w:t>odst</w:t>
      </w:r>
      <w:r w:rsidR="00536BD8">
        <w:rPr>
          <w:rFonts w:ascii="Times New Roman" w:hAnsi="Times New Roman"/>
          <w:sz w:val="24"/>
        </w:rPr>
        <w:t>. 9 a 10 této smlouvy.</w:t>
      </w:r>
    </w:p>
    <w:p w14:paraId="617EDABF" w14:textId="19D270DB" w:rsidR="00B84F19"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E316A3" w:rsidRPr="003F4422">
        <w:rPr>
          <w:rFonts w:ascii="Times New Roman" w:hAnsi="Times New Roman"/>
          <w:sz w:val="24"/>
        </w:rPr>
        <w:t>Dodávky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9418EF" w:rsidRPr="00DF03B0">
        <w:rPr>
          <w:rFonts w:ascii="Times New Roman" w:hAnsi="Times New Roman"/>
          <w:sz w:val="24"/>
        </w:rPr>
        <w:t xml:space="preserve">budova </w:t>
      </w:r>
      <w:r w:rsidR="00670193">
        <w:rPr>
          <w:rFonts w:ascii="Times New Roman" w:hAnsi="Times New Roman"/>
          <w:sz w:val="24"/>
        </w:rPr>
        <w:t xml:space="preserve">Unipetrol výzkumně vzdělávací centrum, a.s. na </w:t>
      </w:r>
      <w:r w:rsidR="00670193" w:rsidRPr="00F64188">
        <w:rPr>
          <w:rFonts w:ascii="Times New Roman" w:hAnsi="Times New Roman"/>
          <w:sz w:val="24"/>
        </w:rPr>
        <w:t xml:space="preserve">adrese </w:t>
      </w:r>
      <w:r w:rsidR="001E1AA9" w:rsidRPr="00F64188">
        <w:rPr>
          <w:rFonts w:ascii="Times New Roman" w:hAnsi="Times New Roman"/>
          <w:sz w:val="24"/>
        </w:rPr>
        <w:t xml:space="preserve">areál </w:t>
      </w:r>
      <w:bookmarkStart w:id="1" w:name="_Hlk482888339"/>
      <w:r w:rsidR="001E1AA9" w:rsidRPr="00F64188">
        <w:rPr>
          <w:rFonts w:ascii="Times New Roman" w:hAnsi="Times New Roman"/>
          <w:sz w:val="24"/>
        </w:rPr>
        <w:t>Chempark</w:t>
      </w:r>
      <w:bookmarkEnd w:id="1"/>
      <w:r w:rsidR="001E1AA9" w:rsidRPr="00F64188">
        <w:rPr>
          <w:rFonts w:ascii="Times New Roman" w:hAnsi="Times New Roman"/>
          <w:sz w:val="24"/>
        </w:rPr>
        <w:t>, Záluží 1, 436 70  Litvínov, budova 2838, případně budova 2828</w:t>
      </w:r>
      <w:r w:rsidR="0045484E">
        <w:rPr>
          <w:rFonts w:ascii="Times New Roman" w:hAnsi="Times New Roman"/>
          <w:sz w:val="24"/>
        </w:rPr>
        <w:t xml:space="preserve"> (dále jen „</w:t>
      </w:r>
      <w:r w:rsidR="0045484E" w:rsidRPr="005739F6">
        <w:rPr>
          <w:rFonts w:ascii="Times New Roman" w:hAnsi="Times New Roman"/>
          <w:b/>
          <w:sz w:val="24"/>
        </w:rPr>
        <w:t>Chempark</w:t>
      </w:r>
      <w:r w:rsidR="0045484E">
        <w:rPr>
          <w:rFonts w:ascii="Times New Roman" w:hAnsi="Times New Roman"/>
          <w:sz w:val="24"/>
        </w:rPr>
        <w:t>“)</w:t>
      </w:r>
      <w:r w:rsidR="001E1AA9" w:rsidRPr="00F64188">
        <w:rPr>
          <w:rFonts w:ascii="Times New Roman" w:hAnsi="Times New Roman"/>
          <w:sz w:val="24"/>
        </w:rPr>
        <w:t>.</w:t>
      </w:r>
      <w:r w:rsidRPr="00F64188">
        <w:rPr>
          <w:rFonts w:ascii="Times New Roman" w:hAnsi="Times New Roman"/>
          <w:sz w:val="24"/>
        </w:rPr>
        <w:t xml:space="preserve"> </w:t>
      </w:r>
    </w:p>
    <w:p w14:paraId="5A9AB531" w14:textId="547D67E4" w:rsidR="00B84F19" w:rsidRPr="0045484E" w:rsidRDefault="0045484E" w:rsidP="005739F6">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sidRPr="005739F6">
        <w:rPr>
          <w:rFonts w:ascii="Times New Roman" w:hAnsi="Times New Roman"/>
          <w:sz w:val="24"/>
        </w:rPr>
        <w:t>Dodavatel se zavazuje respek</w:t>
      </w:r>
      <w:r>
        <w:rPr>
          <w:rFonts w:ascii="Times New Roman" w:hAnsi="Times New Roman"/>
          <w:sz w:val="24"/>
        </w:rPr>
        <w:t xml:space="preserve">tovat pravidla </w:t>
      </w:r>
      <w:r w:rsidRPr="005A4F8B">
        <w:rPr>
          <w:rFonts w:ascii="Times New Roman" w:hAnsi="Times New Roman"/>
          <w:sz w:val="24"/>
        </w:rPr>
        <w:t xml:space="preserve">pro činnost dodavatelských firem </w:t>
      </w:r>
      <w:r>
        <w:rPr>
          <w:rFonts w:ascii="Times New Roman" w:hAnsi="Times New Roman"/>
          <w:sz w:val="24"/>
        </w:rPr>
        <w:t>vydaná správcem</w:t>
      </w:r>
      <w:r w:rsidRPr="005739F6">
        <w:rPr>
          <w:rFonts w:ascii="Times New Roman" w:hAnsi="Times New Roman"/>
          <w:sz w:val="24"/>
        </w:rPr>
        <w:t xml:space="preserve"> areálu Chempark, společnost UNIPETROL</w:t>
      </w:r>
      <w:r w:rsidRPr="0045484E">
        <w:rPr>
          <w:rFonts w:ascii="Times New Roman" w:hAnsi="Times New Roman"/>
          <w:sz w:val="24"/>
        </w:rPr>
        <w:t xml:space="preserve"> RPA s.r.o., IČ: 275 97 075, se</w:t>
      </w:r>
      <w:r>
        <w:rPr>
          <w:rFonts w:ascii="Times New Roman" w:hAnsi="Times New Roman"/>
          <w:sz w:val="24"/>
        </w:rPr>
        <w:t> </w:t>
      </w:r>
      <w:r w:rsidRPr="005739F6">
        <w:rPr>
          <w:rFonts w:ascii="Times New Roman" w:hAnsi="Times New Roman"/>
          <w:sz w:val="24"/>
        </w:rPr>
        <w:t xml:space="preserve">sídlem Litvínov - Záluží 1, PSČ 436 70, </w:t>
      </w:r>
      <w:r>
        <w:rPr>
          <w:rFonts w:ascii="Times New Roman" w:hAnsi="Times New Roman"/>
          <w:sz w:val="24"/>
        </w:rPr>
        <w:t xml:space="preserve">uvedená v příloze č. </w:t>
      </w:r>
      <w:r w:rsidR="00597A8C">
        <w:rPr>
          <w:rFonts w:ascii="Times New Roman" w:hAnsi="Times New Roman"/>
          <w:sz w:val="24"/>
        </w:rPr>
        <w:t xml:space="preserve">3 a </w:t>
      </w:r>
      <w:r>
        <w:rPr>
          <w:rFonts w:ascii="Times New Roman" w:hAnsi="Times New Roman"/>
          <w:sz w:val="24"/>
        </w:rPr>
        <w:t>4 Smlouvy</w:t>
      </w:r>
      <w:r w:rsidRPr="005739F6">
        <w:rPr>
          <w:rFonts w:ascii="Times New Roman" w:hAnsi="Times New Roman"/>
          <w:sz w:val="24"/>
        </w:rPr>
        <w:t>.</w:t>
      </w:r>
    </w:p>
    <w:p w14:paraId="65E0CBA8" w14:textId="77777777" w:rsidR="003F4870" w:rsidRPr="00F76F59" w:rsidRDefault="003F4870"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67927FA1"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w:t>
      </w:r>
      <w:r w:rsidR="00330589">
        <w:rPr>
          <w:rFonts w:ascii="Times New Roman" w:eastAsia="Times New Roman" w:hAnsi="Times New Roman" w:cs="Times New Roman"/>
          <w:sz w:val="24"/>
          <w:szCs w:val="24"/>
          <w:lang w:eastAsia="cs-CZ"/>
        </w:rPr>
        <w:t xml:space="preserve">k převzetí </w:t>
      </w:r>
      <w:r w:rsidR="00330589" w:rsidRPr="003F4422">
        <w:rPr>
          <w:rFonts w:ascii="Times New Roman" w:eastAsia="Times New Roman" w:hAnsi="Times New Roman" w:cs="Times New Roman"/>
          <w:sz w:val="24"/>
          <w:szCs w:val="24"/>
          <w:lang w:eastAsia="cs-CZ"/>
        </w:rPr>
        <w:t xml:space="preserve">Předmětu </w:t>
      </w:r>
      <w:r w:rsidR="00330589">
        <w:rPr>
          <w:rFonts w:ascii="Times New Roman" w:eastAsia="Times New Roman" w:hAnsi="Times New Roman" w:cs="Times New Roman"/>
          <w:sz w:val="24"/>
          <w:szCs w:val="24"/>
          <w:lang w:eastAsia="cs-CZ"/>
        </w:rPr>
        <w:t>dodávky</w:t>
      </w:r>
      <w:r w:rsidRPr="00C411BC">
        <w:rPr>
          <w:rFonts w:ascii="Times New Roman" w:eastAsia="Times New Roman" w:hAnsi="Times New Roman" w:cs="Times New Roman"/>
          <w:sz w:val="24"/>
          <w:szCs w:val="24"/>
          <w:lang w:eastAsia="cs-CZ"/>
        </w:rPr>
        <w:t xml:space="preserve">.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712FC405"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 xml:space="preserve">jakož i provedení kalibrace včetně vyhotovení kalibračního protokolu, </w:t>
      </w:r>
      <w:r w:rsidR="001E21AB">
        <w:rPr>
          <w:rFonts w:ascii="Times New Roman" w:hAnsi="Times New Roman"/>
          <w:sz w:val="24"/>
        </w:rPr>
        <w:t>s</w:t>
      </w:r>
      <w:r w:rsidR="001E21AB" w:rsidRPr="001E21AB">
        <w:rPr>
          <w:rFonts w:ascii="Times New Roman" w:hAnsi="Times New Roman"/>
          <w:sz w:val="24"/>
        </w:rPr>
        <w:t>ervisní a kontrolní (validační) prohlídka v rámci instalace</w:t>
      </w:r>
      <w:r w:rsidR="001E21AB">
        <w:rPr>
          <w:rFonts w:ascii="Times New Roman" w:hAnsi="Times New Roman"/>
          <w:sz w:val="24"/>
        </w:rPr>
        <w:t xml:space="preserve"> Předmětu dodávky, </w:t>
      </w:r>
      <w:r w:rsidRPr="005003F2">
        <w:rPr>
          <w:rFonts w:ascii="Times New Roman" w:hAnsi="Times New Roman"/>
          <w:sz w:val="24"/>
        </w:rPr>
        <w:t>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zaškolení obsluhy v rozsahu zaškolení bezprostředně po instalaci</w:t>
      </w:r>
      <w:r>
        <w:rPr>
          <w:rFonts w:ascii="Times New Roman" w:hAnsi="Times New Roman"/>
          <w:sz w:val="24"/>
        </w:rPr>
        <w:t xml:space="preserve"> (článek II.3.a) Smlouvy)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 vyjma zaškolení obsluhy v </w:t>
      </w:r>
      <w:r w:rsidR="00B569A1" w:rsidRPr="008B66EA">
        <w:rPr>
          <w:rFonts w:ascii="Times New Roman" w:hAnsi="Times New Roman"/>
          <w:sz w:val="24"/>
        </w:rPr>
        <w:t xml:space="preserve">rozsahu zaškolení </w:t>
      </w:r>
      <w:r w:rsidR="00B569A1">
        <w:rPr>
          <w:rFonts w:ascii="Times New Roman" w:hAnsi="Times New Roman"/>
          <w:sz w:val="24"/>
        </w:rPr>
        <w:t>dle článku II.3.b) Smlouvy</w:t>
      </w:r>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3FFC5BAC"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675DC2E5"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w:t>
      </w:r>
      <w:r w:rsidR="00330589">
        <w:rPr>
          <w:rFonts w:ascii="Times New Roman" w:hAnsi="Times New Roman"/>
          <w:sz w:val="24"/>
        </w:rPr>
        <w:t>dodávky</w:t>
      </w:r>
      <w:r w:rsidRPr="00E45683">
        <w:rPr>
          <w:rFonts w:ascii="Times New Roman" w:hAnsi="Times New Roman"/>
          <w:sz w:val="24"/>
        </w:rPr>
        <w:t xml:space="preserve"> přechází na </w:t>
      </w:r>
      <w:r w:rsidR="00330589">
        <w:rPr>
          <w:rFonts w:ascii="Times New Roman" w:hAnsi="Times New Roman"/>
          <w:sz w:val="24"/>
        </w:rPr>
        <w:t>Objednatele</w:t>
      </w:r>
      <w:r w:rsidRPr="00E45683">
        <w:rPr>
          <w:rFonts w:ascii="Times New Roman" w:hAnsi="Times New Roman"/>
          <w:sz w:val="24"/>
        </w:rPr>
        <w:t xml:space="preserve">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00330589">
        <w:rPr>
          <w:rFonts w:ascii="Times New Roman" w:hAnsi="Times New Roman"/>
          <w:sz w:val="24"/>
        </w:rPr>
        <w:t xml:space="preserve">Objednatelem </w:t>
      </w:r>
      <w:r w:rsidRPr="00E45683">
        <w:rPr>
          <w:rFonts w:ascii="Times New Roman" w:hAnsi="Times New Roman"/>
          <w:sz w:val="24"/>
        </w:rPr>
        <w:t>bez vad</w:t>
      </w:r>
      <w:r w:rsidR="00C411BC">
        <w:rPr>
          <w:rFonts w:ascii="Times New Roman" w:hAnsi="Times New Roman"/>
          <w:sz w:val="24"/>
        </w:rPr>
        <w:t>.</w:t>
      </w:r>
    </w:p>
    <w:p w14:paraId="15EDD48D" w14:textId="30084AC7" w:rsidR="00B569A1"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lastRenderedPageBreak/>
        <w:t>O řádném provedení zaškolení obsluhy v </w:t>
      </w:r>
      <w:r w:rsidRPr="008B66EA">
        <w:rPr>
          <w:rFonts w:ascii="Times New Roman" w:hAnsi="Times New Roman"/>
          <w:sz w:val="24"/>
        </w:rPr>
        <w:t xml:space="preserve">rozsahu zaškolení </w:t>
      </w:r>
      <w:r>
        <w:rPr>
          <w:rFonts w:ascii="Times New Roman" w:hAnsi="Times New Roman"/>
          <w:sz w:val="24"/>
        </w:rPr>
        <w:t>dle článku II.3.b) Smlouvy bude smluvními stranami taktéž sepsán protokol, ve kterém Objednatel výslovně potvrdí, že služba byla realizována ve smluveném rozsahu, kvalitě a termínu.</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6E2F7D0A"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163D96">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163D96">
        <w:rPr>
          <w:rFonts w:ascii="Times New Roman" w:hAnsi="Times New Roman"/>
          <w:sz w:val="24"/>
          <w:highlight w:val="green"/>
        </w:rPr>
        <w:t>účastník</w:t>
      </w:r>
      <w:r w:rsidR="00163D96" w:rsidRPr="003F4422">
        <w:rPr>
          <w:rFonts w:ascii="Times New Roman" w:hAnsi="Times New Roman"/>
          <w:sz w:val="24"/>
          <w:highlight w:val="green"/>
        </w:rPr>
        <w:t xml:space="preserve"> </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7AD51A35" w14:textId="34453E59"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w:t>
      </w:r>
      <w:r w:rsidR="00163D96">
        <w:rPr>
          <w:rFonts w:ascii="Times New Roman" w:hAnsi="Times New Roman"/>
          <w:sz w:val="24"/>
        </w:rPr>
        <w:t>zahrnuje</w:t>
      </w:r>
      <w:r w:rsidRPr="006514C2">
        <w:rPr>
          <w:rFonts w:ascii="Times New Roman" w:hAnsi="Times New Roman"/>
          <w:sz w:val="24"/>
        </w:rPr>
        <w:t xml:space="preserve"> všechny smluvní závazky a</w:t>
      </w:r>
      <w:r w:rsidR="00163D96">
        <w:rPr>
          <w:rFonts w:ascii="Times New Roman" w:hAnsi="Times New Roman"/>
          <w:sz w:val="24"/>
        </w:rPr>
        <w:t> </w:t>
      </w:r>
      <w:r w:rsidRPr="006514C2">
        <w:rPr>
          <w:rFonts w:ascii="Times New Roman" w:hAnsi="Times New Roman"/>
          <w:sz w:val="24"/>
        </w:rPr>
        <w:t xml:space="preserve">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00E8782E">
        <w:rPr>
          <w:rFonts w:ascii="Times New Roman" w:hAnsi="Times New Roman"/>
          <w:sz w:val="24"/>
        </w:rPr>
        <w:t>, poskytnutí servisní a kontrolní prohlídky podle odst. II.9. Smlouvy</w:t>
      </w:r>
      <w:r>
        <w:rPr>
          <w:rFonts w:ascii="Times New Roman" w:hAnsi="Times New Roman"/>
          <w:sz w:val="24"/>
        </w:rPr>
        <w:t>)</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5F75AFE0"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w:t>
      </w:r>
      <w:r w:rsidR="00A660A9">
        <w:rPr>
          <w:rFonts w:ascii="Times New Roman" w:hAnsi="Times New Roman"/>
          <w:sz w:val="24"/>
        </w:rPr>
        <w:t> </w:t>
      </w:r>
      <w:r w:rsidRPr="006514C2">
        <w:rPr>
          <w:rFonts w:ascii="Times New Roman" w:hAnsi="Times New Roman"/>
          <w:sz w:val="24"/>
        </w:rPr>
        <w:t>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3497769D"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 bez vad </w:t>
      </w:r>
      <w:r>
        <w:rPr>
          <w:rFonts w:ascii="Times New Roman" w:eastAsia="Times New Roman" w:hAnsi="Times New Roman" w:cs="Times New Roman"/>
          <w:color w:val="000000"/>
          <w:sz w:val="24"/>
          <w:szCs w:val="24"/>
          <w:lang w:eastAsia="cs-CZ"/>
        </w:rPr>
        <w:lastRenderedPageBreak/>
        <w:t xml:space="preserve">a zároveň bylo provedeno </w:t>
      </w:r>
      <w:r w:rsidRPr="008B66EA">
        <w:rPr>
          <w:rFonts w:ascii="Times New Roman" w:hAnsi="Times New Roman"/>
          <w:sz w:val="24"/>
        </w:rPr>
        <w:t xml:space="preserve">zaškolení obsluhy v rozsahu zaškolení </w:t>
      </w:r>
      <w:r>
        <w:rPr>
          <w:rFonts w:ascii="Times New Roman" w:hAnsi="Times New Roman"/>
          <w:sz w:val="24"/>
        </w:rPr>
        <w:t>dle článku II.3.b) Smlouvy).</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0E91285"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w:t>
      </w:r>
      <w:r w:rsidR="00A660A9">
        <w:rPr>
          <w:rFonts w:ascii="Times New Roman" w:hAnsi="Times New Roman"/>
          <w:sz w:val="24"/>
        </w:rPr>
        <w:t> </w:t>
      </w:r>
      <w:r w:rsidR="00B569A1" w:rsidRPr="00B569A1">
        <w:rPr>
          <w:rFonts w:ascii="Times New Roman" w:hAnsi="Times New Roman"/>
          <w:sz w:val="24"/>
        </w:rPr>
        <w:t>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79BBF44B"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xml:space="preserve">, jakož i kopie předávacího protokolu dle článku VI.9 této Smlouvy. </w:t>
      </w:r>
      <w:r w:rsidR="001F040D">
        <w:rPr>
          <w:rFonts w:ascii="Times New Roman" w:hAnsi="Times New Roman"/>
          <w:sz w:val="24"/>
        </w:rPr>
        <w:t>V případě služeb Mimozáručního servisu musí být přílohou faktury kopie předávacího protokolu dle článku VI.10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878529B"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w:t>
      </w:r>
      <w:r w:rsidR="00A660A9">
        <w:rPr>
          <w:rFonts w:ascii="Times New Roman" w:hAnsi="Times New Roman"/>
          <w:sz w:val="24"/>
        </w:rPr>
        <w:t xml:space="preserve">splňovat </w:t>
      </w:r>
      <w:r w:rsidRPr="001370DD">
        <w:rPr>
          <w:rFonts w:ascii="Times New Roman" w:hAnsi="Times New Roman"/>
          <w:sz w:val="24"/>
        </w:rPr>
        <w:t>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w:t>
      </w:r>
      <w:r w:rsidR="00B84F19" w:rsidRPr="001370DD">
        <w:rPr>
          <w:rFonts w:ascii="Times New Roman" w:hAnsi="Times New Roman"/>
          <w:sz w:val="24"/>
        </w:rPr>
        <w:lastRenderedPageBreak/>
        <w:t xml:space="preserve">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A7311A0"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w:t>
      </w:r>
      <w:r w:rsidR="00163D96">
        <w:rPr>
          <w:rFonts w:ascii="Times New Roman" w:hAnsi="Times New Roman"/>
          <w:sz w:val="24"/>
        </w:rPr>
        <w:t>dodávky</w:t>
      </w:r>
      <w:r w:rsidR="00163D96" w:rsidRPr="00531BC5">
        <w:rPr>
          <w:rFonts w:ascii="Times New Roman" w:hAnsi="Times New Roman"/>
          <w:sz w:val="24"/>
        </w:rPr>
        <w:t xml:space="preserve"> </w:t>
      </w:r>
      <w:r w:rsidRPr="00531BC5">
        <w:rPr>
          <w:rFonts w:ascii="Times New Roman" w:hAnsi="Times New Roman"/>
          <w:sz w:val="24"/>
        </w:rPr>
        <w:t xml:space="preserve">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6B77F79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w:t>
      </w:r>
      <w:r w:rsidR="007865A0">
        <w:rPr>
          <w:rFonts w:ascii="Times New Roman" w:hAnsi="Times New Roman"/>
          <w:sz w:val="24"/>
        </w:rPr>
        <w:t>Dodavatelem</w:t>
      </w:r>
      <w:r w:rsidR="00331A90" w:rsidRPr="002C6B01">
        <w:rPr>
          <w:rFonts w:ascii="Times New Roman" w:hAnsi="Times New Roman"/>
          <w:sz w:val="24"/>
        </w:rPr>
        <w:t xml:space="preserve"> bezplatně (dále jen „</w:t>
      </w:r>
      <w:r w:rsidR="00331A90" w:rsidRPr="002E44DE">
        <w:rPr>
          <w:rFonts w:ascii="Times New Roman" w:hAnsi="Times New Roman"/>
          <w:b/>
          <w:sz w:val="24"/>
        </w:rPr>
        <w:t>záruční činnost</w:t>
      </w:r>
      <w:r w:rsidR="00331A90" w:rsidRPr="002C6B01">
        <w:rPr>
          <w:rFonts w:ascii="Times New Roman" w:hAnsi="Times New Roman"/>
          <w:sz w:val="24"/>
        </w:rPr>
        <w:t xml:space="preserve">“).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2EE5B078" w:rsidR="002E4784" w:rsidRPr="003C4964" w:rsidRDefault="00F761B9" w:rsidP="006514C2">
      <w:pPr>
        <w:numPr>
          <w:ilvl w:val="0"/>
          <w:numId w:val="8"/>
        </w:numPr>
        <w:suppressAutoHyphens/>
        <w:autoSpaceDN w:val="0"/>
        <w:spacing w:after="120" w:line="240" w:lineRule="auto"/>
        <w:jc w:val="both"/>
        <w:textAlignment w:val="baseline"/>
        <w:rPr>
          <w:rFonts w:ascii="Times New Roman" w:hAnsi="Times New Roman"/>
          <w:sz w:val="24"/>
        </w:rPr>
      </w:pPr>
      <w:r w:rsidRPr="003C4964">
        <w:rPr>
          <w:rFonts w:ascii="Times New Roman" w:hAnsi="Times New Roman"/>
          <w:sz w:val="24"/>
        </w:rPr>
        <w:t xml:space="preserve">Dodavatel garantuje a zavazuje se Objednateli, že náhradní díly a spotřební materiál bude schopen zajistit </w:t>
      </w:r>
      <w:r w:rsidRPr="00F64188">
        <w:rPr>
          <w:rFonts w:ascii="Times New Roman" w:hAnsi="Times New Roman"/>
          <w:sz w:val="24"/>
        </w:rPr>
        <w:t>nejméně</w:t>
      </w:r>
      <w:r w:rsidR="003C4964" w:rsidRPr="00F64188">
        <w:rPr>
          <w:rFonts w:ascii="Times New Roman" w:hAnsi="Times New Roman"/>
          <w:sz w:val="24"/>
        </w:rPr>
        <w:t xml:space="preserve"> </w:t>
      </w:r>
      <w:r w:rsidR="008064A9" w:rsidRPr="00F64188">
        <w:rPr>
          <w:rFonts w:ascii="Times New Roman" w:hAnsi="Times New Roman"/>
          <w:sz w:val="24"/>
        </w:rPr>
        <w:t xml:space="preserve">po dobu </w:t>
      </w:r>
      <w:r w:rsidR="00F64188" w:rsidRPr="00F64188">
        <w:rPr>
          <w:rFonts w:ascii="Times New Roman" w:hAnsi="Times New Roman"/>
          <w:sz w:val="24"/>
        </w:rPr>
        <w:t>10</w:t>
      </w:r>
      <w:r w:rsidR="002E4784" w:rsidRPr="00F64188">
        <w:rPr>
          <w:rFonts w:ascii="Times New Roman" w:hAnsi="Times New Roman"/>
          <w:sz w:val="24"/>
        </w:rPr>
        <w:t xml:space="preserve"> let od </w:t>
      </w:r>
      <w:r w:rsidR="003C4964" w:rsidRPr="00F64188">
        <w:rPr>
          <w:rFonts w:ascii="Times New Roman" w:hAnsi="Times New Roman"/>
          <w:sz w:val="24"/>
        </w:rPr>
        <w:t>předání</w:t>
      </w:r>
      <w:r w:rsidR="003C4964" w:rsidRPr="003C4964">
        <w:rPr>
          <w:rFonts w:ascii="Times New Roman" w:hAnsi="Times New Roman"/>
          <w:sz w:val="24"/>
        </w:rPr>
        <w:t xml:space="preserve"> a převzetí Předmětu dodávky</w:t>
      </w:r>
      <w:r w:rsidR="00EC1752" w:rsidRPr="003C4964">
        <w:rPr>
          <w:rFonts w:ascii="Times New Roman" w:hAnsi="Times New Roman"/>
          <w:sz w:val="24"/>
        </w:rPr>
        <w:t>.</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783195BC" w:rsidR="00E316A3" w:rsidRPr="00F64188"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Objednatele dle článku </w:t>
      </w:r>
      <w:r w:rsidR="00EC1752" w:rsidRPr="007C448D">
        <w:rPr>
          <w:rFonts w:ascii="Times New Roman" w:hAnsi="Times New Roman"/>
          <w:sz w:val="24"/>
        </w:rPr>
        <w:t>IX.</w:t>
      </w:r>
      <w:r w:rsidR="00AD558B" w:rsidRPr="007C448D">
        <w:rPr>
          <w:rFonts w:ascii="Times New Roman" w:hAnsi="Times New Roman"/>
          <w:sz w:val="24"/>
        </w:rPr>
        <w:t>8</w:t>
      </w:r>
      <w:r w:rsidRPr="007C448D">
        <w:rPr>
          <w:rFonts w:ascii="Times New Roman" w:hAnsi="Times New Roman"/>
          <w:sz w:val="24"/>
        </w:rPr>
        <w:t xml:space="preserve"> Smlouvy</w:t>
      </w:r>
      <w:r>
        <w:rPr>
          <w:rFonts w:ascii="Times New Roman" w:hAnsi="Times New Roman"/>
          <w:sz w:val="24"/>
        </w:rPr>
        <w:t xml:space="preserve">. Nedohodnou-li se smluvní stany jinak, je </w:t>
      </w:r>
      <w:r w:rsidRPr="00F64188">
        <w:rPr>
          <w:rFonts w:ascii="Times New Roman" w:hAnsi="Times New Roman"/>
          <w:sz w:val="24"/>
        </w:rPr>
        <w:t xml:space="preserve">Dodavatel povinen vadu bránící užívání k běžnému účelu Dodávky odstranit nejpozději do </w:t>
      </w:r>
      <w:r w:rsidR="00702129" w:rsidRPr="00F64188">
        <w:rPr>
          <w:rFonts w:ascii="Times New Roman" w:hAnsi="Times New Roman"/>
          <w:sz w:val="24"/>
        </w:rPr>
        <w:t>5</w:t>
      </w:r>
      <w:r w:rsidRPr="00F64188">
        <w:rPr>
          <w:rFonts w:ascii="Times New Roman" w:hAnsi="Times New Roman"/>
          <w:sz w:val="24"/>
        </w:rPr>
        <w:t xml:space="preserve"> pracovních dnů ode dne doručení oznámení o vadě</w:t>
      </w:r>
      <w:r w:rsidR="002F21F7" w:rsidRPr="00F64188">
        <w:rPr>
          <w:rFonts w:ascii="Times New Roman" w:hAnsi="Times New Roman"/>
          <w:sz w:val="24"/>
        </w:rPr>
        <w:t>.</w:t>
      </w:r>
    </w:p>
    <w:p w14:paraId="6E29B45F" w14:textId="214A4110" w:rsidR="00B84F19" w:rsidRPr="00F64188"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F64188">
        <w:rPr>
          <w:rFonts w:ascii="Times New Roman" w:hAnsi="Times New Roman"/>
          <w:sz w:val="24"/>
        </w:rPr>
        <w:t xml:space="preserve">Vyskytne-li se v průběhu </w:t>
      </w:r>
      <w:r w:rsidR="00E316A3" w:rsidRPr="00F64188">
        <w:rPr>
          <w:rFonts w:ascii="Times New Roman" w:hAnsi="Times New Roman"/>
          <w:sz w:val="24"/>
        </w:rPr>
        <w:t xml:space="preserve">záruční </w:t>
      </w:r>
      <w:r w:rsidRPr="00F64188">
        <w:rPr>
          <w:rFonts w:ascii="Times New Roman" w:hAnsi="Times New Roman"/>
          <w:sz w:val="24"/>
        </w:rPr>
        <w:t xml:space="preserve">doby na </w:t>
      </w:r>
      <w:r w:rsidR="00EC1752" w:rsidRPr="00F64188">
        <w:rPr>
          <w:rFonts w:ascii="Times New Roman" w:hAnsi="Times New Roman"/>
          <w:sz w:val="24"/>
        </w:rPr>
        <w:t>Předmětu d</w:t>
      </w:r>
      <w:r w:rsidRPr="00F64188">
        <w:rPr>
          <w:rFonts w:ascii="Times New Roman" w:hAnsi="Times New Roman"/>
          <w:sz w:val="24"/>
        </w:rPr>
        <w:t>odáv</w:t>
      </w:r>
      <w:r w:rsidR="00EC1752" w:rsidRPr="00F64188">
        <w:rPr>
          <w:rFonts w:ascii="Times New Roman" w:hAnsi="Times New Roman"/>
          <w:sz w:val="24"/>
        </w:rPr>
        <w:t>ky</w:t>
      </w:r>
      <w:r w:rsidRPr="00F64188">
        <w:rPr>
          <w:rFonts w:ascii="Times New Roman" w:hAnsi="Times New Roman"/>
          <w:sz w:val="24"/>
        </w:rPr>
        <w:t xml:space="preserve"> vada nebránící jejímu </w:t>
      </w:r>
      <w:r w:rsidR="00E316A3" w:rsidRPr="00F64188">
        <w:rPr>
          <w:rFonts w:ascii="Times New Roman" w:hAnsi="Times New Roman"/>
          <w:sz w:val="24"/>
        </w:rPr>
        <w:t>užívání k běžnému účelu</w:t>
      </w:r>
      <w:r w:rsidRPr="00F64188">
        <w:rPr>
          <w:rFonts w:ascii="Times New Roman" w:hAnsi="Times New Roman"/>
          <w:sz w:val="24"/>
        </w:rPr>
        <w:t>,</w:t>
      </w:r>
      <w:r w:rsidR="00E316A3" w:rsidRPr="00F64188">
        <w:rPr>
          <w:rFonts w:ascii="Times New Roman" w:hAnsi="Times New Roman"/>
          <w:sz w:val="24"/>
        </w:rPr>
        <w:t xml:space="preserve"> je </w:t>
      </w:r>
      <w:r w:rsidRPr="00F64188">
        <w:rPr>
          <w:rFonts w:ascii="Times New Roman" w:hAnsi="Times New Roman"/>
          <w:sz w:val="24"/>
        </w:rPr>
        <w:t>Dodavatel</w:t>
      </w:r>
      <w:r w:rsidR="00E316A3" w:rsidRPr="00F64188">
        <w:rPr>
          <w:rFonts w:ascii="Times New Roman" w:hAnsi="Times New Roman"/>
          <w:sz w:val="24"/>
        </w:rPr>
        <w:t xml:space="preserve"> povinen </w:t>
      </w:r>
      <w:r w:rsidRPr="00F64188">
        <w:rPr>
          <w:rFonts w:ascii="Times New Roman" w:hAnsi="Times New Roman"/>
          <w:sz w:val="24"/>
        </w:rPr>
        <w:t>z</w:t>
      </w:r>
      <w:r w:rsidR="00E316A3" w:rsidRPr="00F64188">
        <w:rPr>
          <w:rFonts w:ascii="Times New Roman" w:hAnsi="Times New Roman"/>
          <w:sz w:val="24"/>
        </w:rPr>
        <w:t>ahájit</w:t>
      </w:r>
      <w:r w:rsidRPr="00F64188">
        <w:rPr>
          <w:rFonts w:ascii="Times New Roman" w:hAnsi="Times New Roman"/>
          <w:sz w:val="24"/>
        </w:rPr>
        <w:t xml:space="preserve"> </w:t>
      </w:r>
      <w:r w:rsidR="00E316A3" w:rsidRPr="00F64188">
        <w:rPr>
          <w:rFonts w:ascii="Times New Roman" w:hAnsi="Times New Roman"/>
          <w:sz w:val="24"/>
        </w:rPr>
        <w:t xml:space="preserve">práce na odstranění takové </w:t>
      </w:r>
      <w:r w:rsidRPr="00F64188">
        <w:rPr>
          <w:rFonts w:ascii="Times New Roman" w:hAnsi="Times New Roman"/>
          <w:sz w:val="24"/>
        </w:rPr>
        <w:t xml:space="preserve">vady do 5 pracovních dnů ode dne doručení </w:t>
      </w:r>
      <w:r w:rsidR="00E316A3" w:rsidRPr="00F64188">
        <w:rPr>
          <w:rFonts w:ascii="Times New Roman" w:hAnsi="Times New Roman"/>
          <w:sz w:val="24"/>
        </w:rPr>
        <w:t xml:space="preserve">písemného oznámení Objednatele dle článku </w:t>
      </w:r>
      <w:r w:rsidR="00EC1752" w:rsidRPr="00F64188">
        <w:rPr>
          <w:rFonts w:ascii="Times New Roman" w:hAnsi="Times New Roman"/>
          <w:sz w:val="24"/>
        </w:rPr>
        <w:t>IX.</w:t>
      </w:r>
      <w:r w:rsidR="00AD558B" w:rsidRPr="00F64188">
        <w:rPr>
          <w:rFonts w:ascii="Times New Roman" w:hAnsi="Times New Roman"/>
          <w:sz w:val="24"/>
        </w:rPr>
        <w:t>8</w:t>
      </w:r>
      <w:r w:rsidR="00E316A3" w:rsidRPr="00F64188">
        <w:rPr>
          <w:rFonts w:ascii="Times New Roman" w:hAnsi="Times New Roman"/>
          <w:sz w:val="24"/>
        </w:rPr>
        <w:t xml:space="preserve"> Smlouvy</w:t>
      </w:r>
      <w:r w:rsidRPr="00F64188">
        <w:rPr>
          <w:rFonts w:ascii="Times New Roman" w:hAnsi="Times New Roman"/>
          <w:sz w:val="24"/>
        </w:rPr>
        <w:t>.</w:t>
      </w:r>
      <w:r w:rsidR="00E316A3" w:rsidRPr="00F64188">
        <w:rPr>
          <w:rFonts w:ascii="Times New Roman" w:hAnsi="Times New Roman"/>
          <w:sz w:val="24"/>
        </w:rPr>
        <w:t xml:space="preserve"> Vadu Dodávky nebránící jejímu užívání k běžnému účelu je Dodavatel povinen odstranit nejpozději do 10 pracovních dnů ode dne doručení oznámení o vadě.</w:t>
      </w:r>
    </w:p>
    <w:p w14:paraId="50F9A1B0" w14:textId="62183F32"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F64188">
        <w:rPr>
          <w:rFonts w:ascii="Times New Roman" w:hAnsi="Times New Roman"/>
          <w:sz w:val="24"/>
        </w:rPr>
        <w:t>Smluvní strany se dohodly, že Objednatel v případě zjištění vady musí tuto vadu Dodavateli oznámit do šedesáti (60) dnů ode dne</w:t>
      </w:r>
      <w:r w:rsidRPr="006514C2">
        <w:rPr>
          <w:rFonts w:ascii="Times New Roman" w:hAnsi="Times New Roman"/>
          <w:sz w:val="24"/>
        </w:rPr>
        <w:t xml:space="preserv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4590E168"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w:t>
      </w:r>
      <w:r w:rsidR="00A660A9">
        <w:rPr>
          <w:rFonts w:ascii="Times New Roman" w:hAnsi="Times New Roman"/>
          <w:sz w:val="24"/>
        </w:rPr>
        <w:t xml:space="preserve"> nezbytný</w:t>
      </w:r>
      <w:r w:rsidRPr="001370DD">
        <w:rPr>
          <w:rFonts w:ascii="Times New Roman" w:hAnsi="Times New Roman"/>
          <w:sz w:val="24"/>
        </w:rPr>
        <w:t xml:space="preserve">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lastRenderedPageBreak/>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4B08569B"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w:t>
      </w:r>
      <w:r w:rsidR="00A660A9">
        <w:rPr>
          <w:rFonts w:ascii="Times New Roman" w:eastAsia="Times New Roman" w:hAnsi="Times New Roman" w:cs="Times New Roman"/>
          <w:sz w:val="24"/>
          <w:szCs w:val="24"/>
          <w:lang w:eastAsia="cs-CZ"/>
        </w:rPr>
        <w:t>ne</w:t>
      </w:r>
      <w:r w:rsidR="00B84F19" w:rsidRPr="00B84F19">
        <w:rPr>
          <w:rFonts w:ascii="Times New Roman" w:eastAsia="Times New Roman" w:hAnsi="Times New Roman" w:cs="Times New Roman"/>
          <w:sz w:val="24"/>
          <w:szCs w:val="24"/>
          <w:lang w:eastAsia="cs-CZ"/>
        </w:rPr>
        <w:t>odstraní</w:t>
      </w:r>
      <w:r w:rsidR="00B84F19" w:rsidRPr="001370DD">
        <w:rPr>
          <w:rFonts w:ascii="Times New Roman" w:hAnsi="Times New Roman"/>
          <w:sz w:val="24"/>
        </w:rPr>
        <w:t xml:space="preserve"> vad</w:t>
      </w:r>
      <w:r w:rsidR="005D5BF5">
        <w:rPr>
          <w:rFonts w:ascii="Times New Roman" w:hAnsi="Times New Roman"/>
          <w:sz w:val="24"/>
        </w:rPr>
        <w:t xml:space="preserve">u </w:t>
      </w:r>
      <w:r w:rsidR="005D5BF5" w:rsidRPr="00F64188">
        <w:rPr>
          <w:rFonts w:ascii="Times New Roman" w:hAnsi="Times New Roman"/>
          <w:sz w:val="24"/>
        </w:rPr>
        <w:t xml:space="preserve">stanoveným způsobem ani do 15 pracovních </w:t>
      </w:r>
      <w:r w:rsidR="001C3DD0">
        <w:rPr>
          <w:rFonts w:ascii="Times New Roman" w:hAnsi="Times New Roman"/>
          <w:sz w:val="24"/>
        </w:rPr>
        <w:t xml:space="preserve">dnů od </w:t>
      </w:r>
      <w:r w:rsidR="00A660A9">
        <w:rPr>
          <w:rFonts w:ascii="Times New Roman" w:hAnsi="Times New Roman"/>
          <w:sz w:val="24"/>
        </w:rPr>
        <w:t xml:space="preserve">oznámení vady </w:t>
      </w:r>
      <w:r w:rsidR="005D5BF5">
        <w:rPr>
          <w:rFonts w:ascii="Times New Roman" w:hAnsi="Times New Roman"/>
          <w:sz w:val="24"/>
        </w:rPr>
        <w:t>Objednatelem</w:t>
      </w:r>
      <w:r w:rsidR="00B84F19" w:rsidRPr="001370DD">
        <w:rPr>
          <w:rFonts w:ascii="Times New Roman" w:hAnsi="Times New Roman"/>
          <w:sz w:val="24"/>
        </w:rPr>
        <w:t xml:space="preserve">, je </w:t>
      </w:r>
      <w:r w:rsidR="00B84F19" w:rsidRPr="00B84F19">
        <w:rPr>
          <w:rFonts w:ascii="Times New Roman" w:eastAsia="Times New Roman" w:hAnsi="Times New Roman" w:cs="Times New Roman"/>
          <w:sz w:val="24"/>
          <w:szCs w:val="24"/>
          <w:lang w:eastAsia="cs-CZ"/>
        </w:rPr>
        <w:t>Objednatel</w:t>
      </w:r>
      <w:r w:rsidR="00B84F19" w:rsidRPr="001370DD">
        <w:rPr>
          <w:rFonts w:ascii="Times New Roman" w:hAnsi="Times New Roman"/>
          <w:sz w:val="24"/>
        </w:rPr>
        <w:t xml:space="preserve"> oprávněn objednat odstranění vady u jiného dodavatele. Dodavatel je</w:t>
      </w:r>
      <w:r w:rsidR="00B84F19" w:rsidRPr="00B84F19">
        <w:rPr>
          <w:rFonts w:ascii="Times New Roman" w:eastAsia="Times New Roman" w:hAnsi="Times New Roman" w:cs="Times New Roman"/>
          <w:sz w:val="24"/>
          <w:szCs w:val="24"/>
          <w:lang w:eastAsia="cs-CZ"/>
        </w:rPr>
        <w:t xml:space="preserve"> následně</w:t>
      </w:r>
      <w:r w:rsidR="00B84F19" w:rsidRPr="001370DD">
        <w:rPr>
          <w:rFonts w:ascii="Times New Roman" w:hAnsi="Times New Roman"/>
          <w:sz w:val="24"/>
        </w:rPr>
        <w:t xml:space="preserve"> povinen uhradit prokazatelné náklady na odstranění vady, a to do 14 dnů od předložení jejich vyúčtování </w:t>
      </w:r>
      <w:r w:rsidR="00B84F19" w:rsidRPr="00B84F1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12AB8C08"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V případě, že </w:t>
      </w:r>
      <w:r w:rsidR="00163D96">
        <w:rPr>
          <w:rFonts w:ascii="Times New Roman" w:hAnsi="Times New Roman"/>
          <w:sz w:val="24"/>
        </w:rPr>
        <w:t>Objednatel</w:t>
      </w:r>
      <w:r w:rsidR="00163D96" w:rsidRPr="00531BC5">
        <w:rPr>
          <w:rFonts w:ascii="Times New Roman" w:hAnsi="Times New Roman"/>
          <w:sz w:val="24"/>
        </w:rPr>
        <w:t xml:space="preserve"> </w:t>
      </w:r>
      <w:r w:rsidRPr="00531BC5">
        <w:rPr>
          <w:rFonts w:ascii="Times New Roman" w:hAnsi="Times New Roman"/>
          <w:sz w:val="24"/>
        </w:rPr>
        <w:t xml:space="preserve">zvolí jako svůj nárok z vadného plnění odstranění vady, má oprávnění odmítnout </w:t>
      </w:r>
      <w:r w:rsidR="00A660A9">
        <w:rPr>
          <w:rFonts w:ascii="Times New Roman" w:hAnsi="Times New Roman"/>
          <w:sz w:val="24"/>
        </w:rPr>
        <w:t>Dodavatelem</w:t>
      </w:r>
      <w:r w:rsidR="00A660A9" w:rsidRPr="00531BC5">
        <w:rPr>
          <w:rFonts w:ascii="Times New Roman" w:hAnsi="Times New Roman"/>
          <w:sz w:val="24"/>
        </w:rPr>
        <w:t xml:space="preserve"> </w:t>
      </w:r>
      <w:r w:rsidRPr="00531BC5">
        <w:rPr>
          <w:rFonts w:ascii="Times New Roman" w:hAnsi="Times New Roman"/>
          <w:sz w:val="24"/>
        </w:rPr>
        <w:t xml:space="preserve">navržený způsob odstranění vady, pokud jej nepokládá za dostatečný, a určit jiný vhodný způsob odstranění vady. V takovém případě nemá </w:t>
      </w:r>
      <w:r w:rsidR="00A660A9">
        <w:rPr>
          <w:rFonts w:ascii="Times New Roman" w:hAnsi="Times New Roman"/>
          <w:sz w:val="24"/>
        </w:rPr>
        <w:t>Dodavatel</w:t>
      </w:r>
      <w:r w:rsidRPr="00531BC5">
        <w:rPr>
          <w:rFonts w:ascii="Times New Roman" w:hAnsi="Times New Roman"/>
          <w:sz w:val="24"/>
        </w:rPr>
        <w:t xml:space="preserve">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450ADC3C" w:rsidR="00B84F19" w:rsidRPr="00F64188"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v </w:t>
      </w:r>
      <w:r w:rsidR="00B84F19" w:rsidRPr="00F64188">
        <w:rPr>
          <w:rFonts w:ascii="Times New Roman" w:hAnsi="Times New Roman"/>
          <w:sz w:val="24"/>
        </w:rPr>
        <w:t xml:space="preserve">souvislosti s prováděním </w:t>
      </w:r>
      <w:r w:rsidR="00B84F19" w:rsidRPr="00F64188">
        <w:rPr>
          <w:rFonts w:ascii="Times New Roman" w:eastAsia="Times New Roman" w:hAnsi="Times New Roman" w:cs="Times New Roman"/>
          <w:sz w:val="24"/>
          <w:szCs w:val="24"/>
          <w:lang w:eastAsia="cs-CZ"/>
        </w:rPr>
        <w:t>dodávky</w:t>
      </w:r>
      <w:r w:rsidRPr="00F64188">
        <w:rPr>
          <w:rFonts w:ascii="Times New Roman" w:eastAsia="Times New Roman" w:hAnsi="Times New Roman" w:cs="Times New Roman"/>
          <w:sz w:val="24"/>
          <w:szCs w:val="24"/>
          <w:lang w:eastAsia="cs-CZ"/>
        </w:rPr>
        <w:t xml:space="preserve"> Předmětu dodávky</w:t>
      </w:r>
      <w:r w:rsidR="00B84F19" w:rsidRPr="00F64188">
        <w:rPr>
          <w:rFonts w:ascii="Times New Roman" w:hAnsi="Times New Roman"/>
          <w:sz w:val="24"/>
        </w:rPr>
        <w:t xml:space="preserve">, </w:t>
      </w:r>
      <w:r w:rsidRPr="00F64188">
        <w:rPr>
          <w:rFonts w:ascii="Times New Roman" w:hAnsi="Times New Roman"/>
          <w:sz w:val="24"/>
        </w:rPr>
        <w:t xml:space="preserve">a to alespoň do řádného předání a převzetí Předmětu dodávky Objednatelem, s pojistným plněním ve výši nejméně 2.000.000,- Kč a s podílem spoluúčasti Dodavatele maximálně ve výši </w:t>
      </w:r>
      <w:r w:rsidR="00B84F19" w:rsidRPr="00F64188">
        <w:rPr>
          <w:rFonts w:ascii="Times New Roman" w:hAnsi="Times New Roman"/>
          <w:sz w:val="24"/>
        </w:rPr>
        <w:t>10 % z hodnoty pojistné události. Nesplnění této povinnosti se považu</w:t>
      </w:r>
      <w:r w:rsidR="00CD3BF2" w:rsidRPr="00F64188">
        <w:rPr>
          <w:rFonts w:ascii="Times New Roman" w:hAnsi="Times New Roman"/>
          <w:sz w:val="24"/>
        </w:rPr>
        <w:t xml:space="preserve">je za </w:t>
      </w:r>
      <w:r w:rsidR="00DA148B">
        <w:rPr>
          <w:rFonts w:ascii="Times New Roman" w:hAnsi="Times New Roman"/>
          <w:sz w:val="24"/>
        </w:rPr>
        <w:t>podstatné</w:t>
      </w:r>
      <w:r w:rsidR="00DA148B" w:rsidRPr="00F64188">
        <w:rPr>
          <w:rFonts w:ascii="Times New Roman" w:hAnsi="Times New Roman"/>
          <w:sz w:val="24"/>
        </w:rPr>
        <w:t xml:space="preserve"> </w:t>
      </w:r>
      <w:r w:rsidR="00CD3BF2" w:rsidRPr="00F64188">
        <w:rPr>
          <w:rFonts w:ascii="Times New Roman" w:hAnsi="Times New Roman"/>
          <w:sz w:val="24"/>
        </w:rPr>
        <w:t>porušení Smlouvy.</w:t>
      </w:r>
    </w:p>
    <w:p w14:paraId="7CFE1921" w14:textId="1EF87423" w:rsidR="002D38F0" w:rsidRPr="00F64188"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sidRPr="00F64188">
        <w:rPr>
          <w:rFonts w:ascii="Times New Roman" w:hAnsi="Times New Roman"/>
          <w:sz w:val="24"/>
        </w:rPr>
        <w:t>Dodavatel je na žádost Objednatele povinen předložit doklad o existenci pojištění, případně příslušnou pojistnou smlouvu, ve lhůtě stanovené Objednatelem.</w:t>
      </w:r>
    </w:p>
    <w:p w14:paraId="05F3B058" w14:textId="77777777" w:rsidR="00702001" w:rsidRPr="00F64188"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F64188" w:rsidRDefault="009418EF" w:rsidP="006514C2">
      <w:pPr>
        <w:suppressAutoHyphens/>
        <w:autoSpaceDN w:val="0"/>
        <w:spacing w:after="120" w:line="240" w:lineRule="auto"/>
        <w:ind w:left="360" w:hanging="360"/>
        <w:jc w:val="center"/>
        <w:textAlignment w:val="baseline"/>
        <w:rPr>
          <w:rFonts w:ascii="Times New Roman" w:hAnsi="Times New Roman"/>
          <w:sz w:val="20"/>
        </w:rPr>
      </w:pPr>
      <w:r w:rsidRPr="00F64188">
        <w:rPr>
          <w:rFonts w:ascii="Times New Roman" w:hAnsi="Times New Roman"/>
          <w:b/>
          <w:sz w:val="24"/>
        </w:rPr>
        <w:t>X</w:t>
      </w:r>
      <w:r w:rsidR="00142E34" w:rsidRPr="00F64188">
        <w:rPr>
          <w:rFonts w:ascii="Times New Roman" w:hAnsi="Times New Roman"/>
          <w:b/>
          <w:sz w:val="24"/>
        </w:rPr>
        <w:t>I</w:t>
      </w:r>
      <w:r w:rsidRPr="00F64188">
        <w:rPr>
          <w:rFonts w:ascii="Times New Roman" w:hAnsi="Times New Roman"/>
          <w:b/>
          <w:sz w:val="24"/>
        </w:rPr>
        <w:t xml:space="preserve">. </w:t>
      </w:r>
      <w:r w:rsidR="00B84F19" w:rsidRPr="00F64188">
        <w:rPr>
          <w:rFonts w:ascii="Times New Roman" w:hAnsi="Times New Roman"/>
          <w:b/>
          <w:sz w:val="24"/>
        </w:rPr>
        <w:t>Smluvní pokuty</w:t>
      </w:r>
    </w:p>
    <w:p w14:paraId="1F9E2302" w14:textId="50F55A7B" w:rsidR="000B0D5C" w:rsidRPr="00F64188"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64188">
        <w:rPr>
          <w:rFonts w:ascii="Times New Roman" w:hAnsi="Times New Roman"/>
          <w:sz w:val="24"/>
        </w:rPr>
        <w:t xml:space="preserve">V případě, že Dodavatel nepředá Objednateli Předmět dodávky včas, zavazuje se zaplatit Objednateli smluvní pokutu ve výši 0,2 % z ceny Předmětu dodávky za každý započatý den prodlení s předáním Předmětu dodávky. </w:t>
      </w:r>
    </w:p>
    <w:p w14:paraId="10B1C8AA" w14:textId="7292A4BE" w:rsidR="008407FE" w:rsidRPr="00F64188"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64188">
        <w:rPr>
          <w:rFonts w:ascii="Times New Roman" w:hAnsi="Times New Roman"/>
          <w:sz w:val="24"/>
        </w:rPr>
        <w:t>V případě prodlení Dodavatele s odstraněním vad uplatněných Objednatelem</w:t>
      </w:r>
      <w:r w:rsidR="005D5BF5" w:rsidRPr="00F64188">
        <w:rPr>
          <w:rFonts w:ascii="Times New Roman" w:hAnsi="Times New Roman"/>
          <w:sz w:val="24"/>
        </w:rPr>
        <w:t xml:space="preserve"> v </w:t>
      </w:r>
      <w:r w:rsidRPr="00F64188">
        <w:rPr>
          <w:rFonts w:ascii="Times New Roman" w:hAnsi="Times New Roman"/>
          <w:sz w:val="24"/>
        </w:rPr>
        <w:t>záruční době v dohodnutém termínu má Objednatel právo na smluvní pokutu ve výši 1.000,- Kč za každou vadu a za každý den příslušného prodlení</w:t>
      </w:r>
      <w:r w:rsidR="008407FE" w:rsidRPr="00F64188">
        <w:rPr>
          <w:rFonts w:ascii="Times New Roman" w:hAnsi="Times New Roman"/>
          <w:sz w:val="24"/>
        </w:rPr>
        <w:t>.</w:t>
      </w:r>
    </w:p>
    <w:p w14:paraId="27632D01" w14:textId="795BDFB3" w:rsidR="00285429" w:rsidRPr="00F64188"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64188">
        <w:rPr>
          <w:rFonts w:ascii="Times New Roman" w:hAnsi="Times New Roman"/>
          <w:sz w:val="24"/>
        </w:rPr>
        <w:t>V případě porušení povinnosti Dodavatele zajistit náhradní díly a spotřební materiál stanovené v čl. IX.7 této Smlouvy má Objednatel právo na smluvní pokutu ve výši</w:t>
      </w:r>
      <w:r w:rsidR="005911E4" w:rsidRPr="00F64188">
        <w:rPr>
          <w:rFonts w:ascii="Times New Roman" w:hAnsi="Times New Roman"/>
          <w:sz w:val="24"/>
        </w:rPr>
        <w:t xml:space="preserve"> 100 000,-</w:t>
      </w:r>
      <w:r w:rsidRPr="00F64188">
        <w:rPr>
          <w:rFonts w:ascii="Times New Roman" w:hAnsi="Times New Roman"/>
          <w:sz w:val="24"/>
        </w:rPr>
        <w:t xml:space="preserve"> Kč za každé takové porušení.</w:t>
      </w:r>
    </w:p>
    <w:p w14:paraId="5871BB9F" w14:textId="6840A476" w:rsidR="00285429" w:rsidRPr="00F64188"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64188">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w:t>
      </w:r>
      <w:r w:rsidRPr="00BB10CF">
        <w:rPr>
          <w:rFonts w:ascii="Times New Roman" w:hAnsi="Times New Roman"/>
          <w:sz w:val="24"/>
        </w:rPr>
        <w:t xml:space="preserve">výši </w:t>
      </w:r>
      <w:r w:rsidR="005911E4" w:rsidRPr="00BB10CF">
        <w:rPr>
          <w:rFonts w:ascii="Times New Roman" w:hAnsi="Times New Roman"/>
          <w:sz w:val="24"/>
        </w:rPr>
        <w:t>500,-</w:t>
      </w:r>
      <w:r w:rsidRPr="00BB10CF">
        <w:rPr>
          <w:rFonts w:ascii="Times New Roman" w:hAnsi="Times New Roman"/>
          <w:sz w:val="24"/>
        </w:rPr>
        <w:t xml:space="preserve"> Kč za každou</w:t>
      </w:r>
      <w:r w:rsidRPr="00F64188">
        <w:rPr>
          <w:rFonts w:ascii="Times New Roman" w:hAnsi="Times New Roman"/>
          <w:sz w:val="24"/>
        </w:rPr>
        <w:t xml:space="preserve"> započatou hodinu prodlení.</w:t>
      </w:r>
    </w:p>
    <w:p w14:paraId="3781293A" w14:textId="77777777" w:rsidR="00B84F19" w:rsidRPr="00F6418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64188">
        <w:rPr>
          <w:rFonts w:ascii="Times New Roman" w:hAnsi="Times New Roman"/>
          <w:sz w:val="24"/>
        </w:rPr>
        <w:lastRenderedPageBreak/>
        <w:t xml:space="preserve">V případě, že za porušení předpisů Dodavatelem bude Objednateli uložena pokuta vnějšími správními nebo kontrolními orgány, je Dodavatel povinen tuto pokutu Objednateli uhradit. Takový případ se též </w:t>
      </w:r>
      <w:r w:rsidR="00CD3BF2" w:rsidRPr="00F64188">
        <w:rPr>
          <w:rFonts w:ascii="Times New Roman" w:hAnsi="Times New Roman"/>
          <w:sz w:val="24"/>
        </w:rPr>
        <w:t xml:space="preserve">považuje za podstatné porušení </w:t>
      </w:r>
      <w:r w:rsidRPr="00F64188">
        <w:rPr>
          <w:rFonts w:ascii="Times New Roman" w:hAnsi="Times New Roman"/>
          <w:sz w:val="24"/>
        </w:rPr>
        <w:t>Smlouvy.</w:t>
      </w:r>
    </w:p>
    <w:p w14:paraId="71176EDC" w14:textId="1E095744" w:rsidR="00B84F19" w:rsidRPr="00F6418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64188">
        <w:rPr>
          <w:rFonts w:ascii="Times New Roman" w:hAnsi="Times New Roman"/>
          <w:sz w:val="24"/>
        </w:rPr>
        <w:t>Uplatněním nároku, nebo zaplacením smluvní pokuty, není dotčeno právo Objednatele na náhradu prokázané škody, kterou Dodavatel způsobil Objednateli nesplněním svých povinností, ke kterým se Dodavatel zavázal v této Smlouvě, nebo ke kterým je povinen ze zákona</w:t>
      </w:r>
      <w:r w:rsidR="00666728" w:rsidRPr="00F64188">
        <w:rPr>
          <w:rFonts w:ascii="Times New Roman" w:hAnsi="Times New Roman"/>
          <w:sz w:val="24"/>
        </w:rPr>
        <w:t>, v plné výši</w:t>
      </w:r>
      <w:r w:rsidRPr="00F64188">
        <w:rPr>
          <w:rFonts w:ascii="Times New Roman" w:hAnsi="Times New Roman"/>
          <w:sz w:val="24"/>
        </w:rPr>
        <w:t>. Náhradu škody je Dodavatel povinen uhradit způsobem, kter</w:t>
      </w:r>
      <w:r w:rsidR="00CC01F6">
        <w:rPr>
          <w:rFonts w:ascii="Times New Roman" w:hAnsi="Times New Roman"/>
          <w:sz w:val="24"/>
        </w:rPr>
        <w:t>ý</w:t>
      </w:r>
      <w:r w:rsidRPr="00F64188">
        <w:rPr>
          <w:rFonts w:ascii="Times New Roman" w:hAnsi="Times New Roman"/>
          <w:sz w:val="24"/>
        </w:rPr>
        <w:t xml:space="preserve"> mu bude sdělen Objednatelem v písemném oznámení.</w:t>
      </w:r>
    </w:p>
    <w:p w14:paraId="2B04D121" w14:textId="77777777" w:rsidR="00B84F19" w:rsidRPr="00F6418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64188">
        <w:rPr>
          <w:rFonts w:ascii="Times New Roman" w:hAnsi="Times New Roman"/>
          <w:sz w:val="24"/>
        </w:rPr>
        <w:t>Smluvní pokuty a náhrady škod budou účtovány samostatnými platebními doklady. Dodavatel je povinen uhradit smluvní pokutu nebo nahradit vzniklou škodu do 30-ti dnů po obdržení platebního dokladu vystaveného Objednatelem.</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67659B46"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w:t>
      </w:r>
      <w:r w:rsidR="006E0F73">
        <w:rPr>
          <w:rFonts w:ascii="Times New Roman" w:hAnsi="Times New Roman"/>
          <w:sz w:val="24"/>
        </w:rPr>
        <w:t>vědomost</w:t>
      </w:r>
      <w:r w:rsidR="006E0F73" w:rsidRPr="001370DD">
        <w:rPr>
          <w:rFonts w:ascii="Times New Roman" w:hAnsi="Times New Roman"/>
          <w:sz w:val="24"/>
        </w:rPr>
        <w:t xml:space="preserve"> </w:t>
      </w:r>
      <w:r w:rsidRPr="001370DD">
        <w:rPr>
          <w:rFonts w:ascii="Times New Roman" w:hAnsi="Times New Roman"/>
          <w:sz w:val="24"/>
        </w:rPr>
        <w:t xml:space="preserve">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w:t>
      </w:r>
      <w:r w:rsidR="006E0F73">
        <w:rPr>
          <w:rFonts w:ascii="Times New Roman" w:eastAsia="Times New Roman" w:hAnsi="Times New Roman" w:cs="Times New Roman"/>
          <w:sz w:val="24"/>
          <w:szCs w:val="24"/>
          <w:lang w:eastAsia="cs-CZ"/>
        </w:rPr>
        <w:t xml:space="preserve">informacích a </w:t>
      </w:r>
      <w:r w:rsidRPr="00B84F19">
        <w:rPr>
          <w:rFonts w:ascii="Times New Roman" w:eastAsia="Times New Roman" w:hAnsi="Times New Roman" w:cs="Times New Roman"/>
          <w:sz w:val="24"/>
          <w:szCs w:val="24"/>
          <w:lang w:eastAsia="cs-CZ"/>
        </w:rPr>
        <w:t>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4002C8E3" w:rsidR="00B84F19" w:rsidRPr="00F64188"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w:t>
      </w:r>
      <w:r w:rsidRPr="00F64188">
        <w:rPr>
          <w:rFonts w:ascii="Times New Roman" w:hAnsi="Times New Roman"/>
          <w:sz w:val="24"/>
        </w:rPr>
        <w:t xml:space="preserve">tajemství a mlčenlivosti, jde o podstatné porušení této </w:t>
      </w:r>
      <w:r w:rsidRPr="00F64188">
        <w:rPr>
          <w:rFonts w:ascii="Times New Roman" w:eastAsia="Times New Roman" w:hAnsi="Times New Roman" w:cs="Times New Roman"/>
          <w:sz w:val="24"/>
          <w:szCs w:val="24"/>
          <w:lang w:eastAsia="cs-CZ"/>
        </w:rPr>
        <w:t>Smlouvy</w:t>
      </w:r>
      <w:r w:rsidRPr="00F64188">
        <w:rPr>
          <w:rFonts w:ascii="Times New Roman" w:hAnsi="Times New Roman"/>
          <w:sz w:val="24"/>
        </w:rPr>
        <w:t xml:space="preserve"> a smluvní strana, která tuto povinnost porušila, uhradí ve prospěch druhé smluvní strany smluvní pokutu ve výši </w:t>
      </w:r>
      <w:r w:rsidRPr="00F64188">
        <w:rPr>
          <w:rFonts w:ascii="Times New Roman" w:hAnsi="Times New Roman"/>
          <w:color w:val="000000"/>
          <w:sz w:val="24"/>
        </w:rPr>
        <w:t>50.000,- Kč z</w:t>
      </w:r>
      <w:r w:rsidRPr="00F64188">
        <w:rPr>
          <w:rFonts w:ascii="Times New Roman" w:hAnsi="Times New Roman"/>
          <w:sz w:val="24"/>
        </w:rPr>
        <w:t>a každé jednotlivé porušení povinnosti. Zaplacením smluvní pokuty není nijak dotčeno ani omezeno právo druhé smluvní strany na náhradu škody vzniklou v souvislosti s uvedeným porušením povinností.</w:t>
      </w:r>
    </w:p>
    <w:p w14:paraId="6A29EE1F" w14:textId="40FE0F52"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lastRenderedPageBreak/>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45E17AFD"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6382388"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w:t>
      </w:r>
      <w:r w:rsidRPr="006514C2">
        <w:rPr>
          <w:rFonts w:ascii="Times New Roman" w:hAnsi="Times New Roman"/>
          <w:sz w:val="24"/>
        </w:rPr>
        <w:lastRenderedPageBreak/>
        <w:t>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F64188"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F64188">
        <w:rPr>
          <w:rFonts w:ascii="Times New Roman" w:eastAsia="Times New Roman" w:hAnsi="Times New Roman" w:cs="Times New Roman"/>
          <w:b/>
          <w:bCs/>
          <w:kern w:val="3"/>
          <w:sz w:val="24"/>
          <w:szCs w:val="24"/>
          <w:lang w:eastAsia="cs-CZ"/>
        </w:rPr>
        <w:t>XV</w:t>
      </w:r>
      <w:r w:rsidRPr="00F64188">
        <w:rPr>
          <w:rFonts w:ascii="Times New Roman" w:hAnsi="Times New Roman"/>
          <w:b/>
          <w:kern w:val="3"/>
          <w:sz w:val="24"/>
        </w:rPr>
        <w:t>. Závěrečná ustanovení</w:t>
      </w:r>
    </w:p>
    <w:p w14:paraId="2CFE0700" w14:textId="4CC87CA8" w:rsidR="00B84F19" w:rsidRPr="00F64188"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F64188">
        <w:rPr>
          <w:rFonts w:ascii="Times New Roman" w:hAnsi="Times New Roman"/>
          <w:sz w:val="24"/>
        </w:rPr>
        <w:t xml:space="preserve">Dodavatel bere na vědomí, že poskytovatel podpory v rámci programu NPU I je oprávněn provádět kontrolu plnění cílů projektu </w:t>
      </w:r>
      <w:r w:rsidRPr="00F64188">
        <w:rPr>
          <w:rFonts w:ascii="Times New Roman" w:hAnsi="Times New Roman" w:cs="Times New Roman"/>
          <w:sz w:val="24"/>
        </w:rPr>
        <w:t>„Rozvoj centra UniCRE“</w:t>
      </w:r>
      <w:r w:rsidRPr="00F64188">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F64188" w:rsidDel="00AA6FE4">
        <w:rPr>
          <w:rFonts w:ascii="Times New Roman" w:hAnsi="Times New Roman"/>
          <w:sz w:val="24"/>
        </w:rPr>
        <w:t xml:space="preserve"> </w:t>
      </w:r>
      <w:r w:rsidRPr="00F64188">
        <w:rPr>
          <w:rFonts w:ascii="Times New Roman" w:hAnsi="Times New Roman"/>
          <w:sz w:val="24"/>
        </w:rPr>
        <w:t>a</w:t>
      </w:r>
      <w:r w:rsidR="00AD558B" w:rsidRPr="00F64188">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F64188">
        <w:rPr>
          <w:rFonts w:ascii="Times New Roman" w:hAnsi="Times New Roman"/>
          <w:sz w:val="24"/>
        </w:rPr>
        <w:t xml:space="preserve"> </w:t>
      </w:r>
      <w:r w:rsidR="00C52CFC" w:rsidRPr="00F64188">
        <w:rPr>
          <w:rFonts w:ascii="Times New Roman" w:hAnsi="Times New Roman"/>
          <w:sz w:val="24"/>
        </w:rPr>
        <w:t xml:space="preserve">Dodavatel </w:t>
      </w:r>
      <w:r w:rsidRPr="00F64188">
        <w:rPr>
          <w:rFonts w:ascii="Times New Roman" w:hAnsi="Times New Roman"/>
          <w:sz w:val="24"/>
        </w:rPr>
        <w:t xml:space="preserve">dále </w:t>
      </w:r>
      <w:r w:rsidR="00C52CFC" w:rsidRPr="00F64188">
        <w:rPr>
          <w:rFonts w:ascii="Times New Roman" w:hAnsi="Times New Roman"/>
          <w:sz w:val="24"/>
        </w:rPr>
        <w:t xml:space="preserve">bere na vědomí, že poskytovatelé podpory jsou oprávněni provádět </w:t>
      </w:r>
      <w:r w:rsidRPr="00F64188">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F64188">
        <w:rPr>
          <w:rFonts w:ascii="Times New Roman" w:hAnsi="Times New Roman"/>
          <w:sz w:val="24"/>
        </w:rPr>
        <w:t>ů</w:t>
      </w:r>
      <w:r w:rsidRPr="00F64188">
        <w:rPr>
          <w:rFonts w:ascii="Times New Roman" w:hAnsi="Times New Roman"/>
          <w:sz w:val="24"/>
        </w:rPr>
        <w:t xml:space="preserve"> podpory a podřídit se veškerým pokynům poskytovatel</w:t>
      </w:r>
      <w:r w:rsidR="00AD558B" w:rsidRPr="00F64188">
        <w:rPr>
          <w:rFonts w:ascii="Times New Roman" w:hAnsi="Times New Roman"/>
          <w:sz w:val="24"/>
        </w:rPr>
        <w:t>ů</w:t>
      </w:r>
      <w:r w:rsidRPr="00F64188">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w:t>
      </w:r>
      <w:r w:rsidR="00692793">
        <w:rPr>
          <w:rFonts w:ascii="Times New Roman" w:hAnsi="Times New Roman"/>
          <w:sz w:val="24"/>
        </w:rPr>
        <w:t>deset</w:t>
      </w:r>
      <w:r w:rsidRPr="00F64188">
        <w:rPr>
          <w:rFonts w:ascii="Times New Roman" w:hAnsi="Times New Roman"/>
          <w:sz w:val="24"/>
        </w:rPr>
        <w:t xml:space="preserve"> (</w:t>
      </w:r>
      <w:r w:rsidR="00692793">
        <w:rPr>
          <w:rFonts w:ascii="Times New Roman" w:hAnsi="Times New Roman"/>
          <w:sz w:val="24"/>
        </w:rPr>
        <w:t>10</w:t>
      </w:r>
      <w:r w:rsidRPr="00F64188">
        <w:rPr>
          <w:rFonts w:ascii="Times New Roman" w:hAnsi="Times New Roman"/>
          <w:sz w:val="24"/>
        </w:rPr>
        <w:t>)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F64188">
        <w:rPr>
          <w:rFonts w:ascii="Times New Roman" w:hAnsi="Times New Roman"/>
          <w:sz w:val="24"/>
        </w:rPr>
        <w:t xml:space="preserve">     </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F64188">
        <w:rPr>
          <w:rFonts w:ascii="Times New Roman" w:hAnsi="Times New Roman"/>
          <w:sz w:val="24"/>
        </w:rPr>
        <w:t xml:space="preserve">Dodavatel </w:t>
      </w:r>
      <w:r w:rsidR="00E316A3" w:rsidRPr="00F64188">
        <w:rPr>
          <w:rFonts w:ascii="Times New Roman" w:hAnsi="Times New Roman"/>
          <w:sz w:val="24"/>
        </w:rPr>
        <w:t xml:space="preserve">je při dodání a instalaci </w:t>
      </w:r>
      <w:r w:rsidR="00CC7499" w:rsidRPr="00F64188">
        <w:rPr>
          <w:rFonts w:ascii="Times New Roman" w:hAnsi="Times New Roman"/>
          <w:sz w:val="24"/>
        </w:rPr>
        <w:t>Předmětu d</w:t>
      </w:r>
      <w:r w:rsidR="00E316A3" w:rsidRPr="00F64188">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F64188">
        <w:rPr>
          <w:rFonts w:ascii="Times New Roman" w:hAnsi="Times New Roman"/>
          <w:sz w:val="24"/>
        </w:rPr>
        <w:t>pracovišt</w:t>
      </w:r>
      <w:r w:rsidR="00E316A3" w:rsidRPr="00F64188">
        <w:rPr>
          <w:rFonts w:ascii="Times New Roman" w:hAnsi="Times New Roman"/>
          <w:sz w:val="24"/>
        </w:rPr>
        <w:t>i</w:t>
      </w:r>
      <w:r w:rsidRPr="00F64188">
        <w:rPr>
          <w:rFonts w:ascii="Times New Roman" w:hAnsi="Times New Roman"/>
          <w:sz w:val="24"/>
        </w:rPr>
        <w:t xml:space="preserve">, dodržování bezpečnostních, hygienických a požárních předpisů, včetně </w:t>
      </w:r>
      <w:r w:rsidRPr="00F64188">
        <w:rPr>
          <w:rFonts w:ascii="Times New Roman" w:hAnsi="Times New Roman"/>
          <w:sz w:val="24"/>
        </w:rPr>
        <w:lastRenderedPageBreak/>
        <w:t xml:space="preserve">prostorů </w:t>
      </w:r>
      <w:r w:rsidR="00E316A3" w:rsidRPr="00F64188">
        <w:rPr>
          <w:rFonts w:ascii="Times New Roman" w:hAnsi="Times New Roman"/>
          <w:sz w:val="24"/>
        </w:rPr>
        <w:t xml:space="preserve">místa dodání a instalace </w:t>
      </w:r>
      <w:r w:rsidR="00CC7499" w:rsidRPr="00F64188">
        <w:rPr>
          <w:rFonts w:ascii="Times New Roman" w:hAnsi="Times New Roman"/>
          <w:sz w:val="24"/>
        </w:rPr>
        <w:t>Předmětu d</w:t>
      </w:r>
      <w:r w:rsidR="00E316A3" w:rsidRPr="00F64188">
        <w:rPr>
          <w:rFonts w:ascii="Times New Roman" w:hAnsi="Times New Roman"/>
          <w:sz w:val="24"/>
        </w:rPr>
        <w:t>odávky</w:t>
      </w:r>
      <w:r w:rsidRPr="00F64188">
        <w:rPr>
          <w:rFonts w:ascii="Times New Roman" w:hAnsi="Times New Roman"/>
          <w:sz w:val="24"/>
        </w:rPr>
        <w:t>. Doda</w:t>
      </w:r>
      <w:r w:rsidRPr="00E316A3">
        <w:rPr>
          <w:rFonts w:ascii="Times New Roman" w:hAnsi="Times New Roman"/>
          <w:sz w:val="24"/>
        </w:rPr>
        <w:t xml:space="preserve">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4E05FB7C" w14:textId="62591D48" w:rsidR="002F21F7" w:rsidRDefault="00FA503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hAnsi="Times New Roman"/>
          <w:sz w:val="24"/>
        </w:rPr>
        <w:t xml:space="preserve">Příloha č. </w:t>
      </w:r>
      <w:r w:rsidR="00597A8C">
        <w:rPr>
          <w:rFonts w:ascii="Times New Roman" w:hAnsi="Times New Roman"/>
          <w:sz w:val="24"/>
        </w:rPr>
        <w:t xml:space="preserve">2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431368F6" w14:textId="255D57A4" w:rsidR="0045484E" w:rsidRDefault="0045484E"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Příloha č. </w:t>
      </w:r>
      <w:r w:rsidR="00597A8C">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 xml:space="preserve"> - </w:t>
      </w:r>
      <w:bookmarkStart w:id="2" w:name="_Hlk483151030"/>
      <w:r w:rsidRPr="0045484E">
        <w:rPr>
          <w:rFonts w:ascii="Times New Roman" w:eastAsia="Times New Roman" w:hAnsi="Times New Roman" w:cs="Times New Roman"/>
          <w:sz w:val="24"/>
          <w:szCs w:val="24"/>
          <w:lang w:eastAsia="cs-CZ"/>
        </w:rPr>
        <w:t>Podmínky vstupu a pohybu v Chemparku Záluží</w:t>
      </w:r>
      <w:bookmarkEnd w:id="2"/>
    </w:p>
    <w:p w14:paraId="69B00BD5" w14:textId="5F96138C" w:rsidR="0045484E" w:rsidRPr="001370DD" w:rsidRDefault="0045484E"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eastAsia="Times New Roman" w:hAnsi="Times New Roman" w:cs="Times New Roman"/>
          <w:sz w:val="24"/>
          <w:szCs w:val="24"/>
          <w:lang w:eastAsia="cs-CZ"/>
        </w:rPr>
        <w:t xml:space="preserve">Příloha č. </w:t>
      </w:r>
      <w:r w:rsidR="00597A8C">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 xml:space="preserve"> - </w:t>
      </w:r>
      <w:bookmarkStart w:id="3" w:name="_Hlk483151208"/>
      <w:r w:rsidRPr="0045484E">
        <w:rPr>
          <w:rFonts w:ascii="Times New Roman" w:eastAsia="Times New Roman" w:hAnsi="Times New Roman" w:cs="Times New Roman"/>
          <w:sz w:val="24"/>
          <w:szCs w:val="24"/>
          <w:lang w:eastAsia="cs-CZ"/>
        </w:rPr>
        <w:t>Služby poskytované správcem Chemparku Záluží</w:t>
      </w:r>
      <w:bookmarkEnd w:id="3"/>
    </w:p>
    <w:p w14:paraId="568D9E42" w14:textId="77777777" w:rsidR="00316753" w:rsidRPr="001D1C16" w:rsidRDefault="0050163E"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r>
        <w:rPr>
          <w:rFonts w:ascii="Times New Roman" w:hAnsi="Times New Roman"/>
          <w:sz w:val="24"/>
        </w:rPr>
        <w:br/>
      </w:r>
    </w:p>
    <w:p w14:paraId="11FD3E7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3B532C8F"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6CCD5ADA"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1D235E74"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r>
    </w:p>
    <w:p w14:paraId="70EB38EB" w14:textId="77777777" w:rsidR="00B84F19" w:rsidRPr="001370DD" w:rsidRDefault="00B84F19" w:rsidP="00A2355C">
      <w:pPr>
        <w:keepNext/>
        <w:suppressAutoHyphens/>
        <w:autoSpaceDN w:val="0"/>
        <w:spacing w:after="0" w:line="240" w:lineRule="auto"/>
        <w:ind w:firstLine="708"/>
        <w:jc w:val="both"/>
        <w:textAlignment w:val="baseline"/>
        <w:outlineLvl w:val="0"/>
        <w:rPr>
          <w:b/>
        </w:rPr>
      </w:pPr>
      <w:r w:rsidRPr="001370DD">
        <w:rPr>
          <w:rFonts w:ascii="Times New Roman" w:hAnsi="Times New Roman"/>
          <w:kern w:val="3"/>
          <w:sz w:val="24"/>
        </w:rPr>
        <w:t>dodavatel</w:t>
      </w:r>
      <w:r w:rsidRPr="001370DD">
        <w:rPr>
          <w:rFonts w:ascii="Times New Roman" w:hAnsi="Times New Roman"/>
          <w:kern w:val="3"/>
          <w:sz w:val="24"/>
        </w:rPr>
        <w:tab/>
      </w: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Pr="001370DD">
        <w:rPr>
          <w:rFonts w:ascii="Times New Roman" w:hAnsi="Times New Roman"/>
          <w:kern w:val="32"/>
          <w:sz w:val="24"/>
        </w:rPr>
        <w:t>Ing. František Svoboda</w:t>
      </w:r>
    </w:p>
    <w:p w14:paraId="760B172F" w14:textId="77777777" w:rsidR="00B84F19" w:rsidRPr="001370DD" w:rsidRDefault="00B84F19" w:rsidP="001370DD">
      <w:pPr>
        <w:keepNext/>
        <w:suppressAutoHyphens/>
        <w:autoSpaceDN w:val="0"/>
        <w:spacing w:after="0" w:line="240" w:lineRule="auto"/>
        <w:jc w:val="both"/>
        <w:textAlignment w:val="baseline"/>
        <w:outlineLvl w:val="0"/>
        <w:rPr>
          <w:rFonts w:ascii="Times New Roman" w:hAnsi="Times New Roman"/>
          <w:sz w:val="24"/>
        </w:rPr>
      </w:pPr>
      <w:r w:rsidRPr="001370DD">
        <w:rPr>
          <w:rFonts w:ascii="Times New Roman" w:hAnsi="Times New Roman"/>
          <w:i/>
          <w:sz w:val="24"/>
        </w:rPr>
        <w:t xml:space="preserve">      </w:t>
      </w:r>
      <w:r w:rsidRPr="001370DD">
        <w:rPr>
          <w:rFonts w:ascii="Times New Roman" w:hAnsi="Times New Roman"/>
          <w:i/>
          <w:sz w:val="24"/>
        </w:rPr>
        <w:tab/>
      </w:r>
      <w:r w:rsidRPr="001370DD">
        <w:rPr>
          <w:rFonts w:ascii="Times New Roman" w:hAnsi="Times New Roman"/>
          <w:i/>
          <w:sz w:val="24"/>
        </w:rPr>
        <w:tab/>
      </w:r>
      <w:r w:rsidRPr="001370DD">
        <w:rPr>
          <w:rFonts w:ascii="Times New Roman" w:hAnsi="Times New Roman"/>
          <w:i/>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t xml:space="preserve">   </w:t>
      </w:r>
      <w:r w:rsidRPr="001370DD">
        <w:rPr>
          <w:rFonts w:ascii="Times New Roman" w:hAnsi="Times New Roman"/>
          <w:i/>
          <w:sz w:val="24"/>
        </w:rPr>
        <w:t>předseda představenstva</w:t>
      </w:r>
      <w:r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p>
    <w:p w14:paraId="5893D3CC"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sz w:val="24"/>
        </w:rPr>
        <w:t>doc. Ing. Jaromír Lederer, CSc.</w:t>
      </w:r>
    </w:p>
    <w:p w14:paraId="3A311532" w14:textId="77777777"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even" r:id="rId12"/>
      <w:footerReference w:type="default" r:id="rId13"/>
      <w:headerReference w:type="first" r:id="rId14"/>
      <w:footerReference w:type="first" r:id="rId15"/>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82281" w14:textId="77777777" w:rsidR="008116CF" w:rsidRDefault="008116CF" w:rsidP="001370DD">
      <w:pPr>
        <w:spacing w:after="0" w:line="240" w:lineRule="auto"/>
      </w:pPr>
      <w:r>
        <w:separator/>
      </w:r>
    </w:p>
  </w:endnote>
  <w:endnote w:type="continuationSeparator" w:id="0">
    <w:p w14:paraId="45E2A613" w14:textId="77777777" w:rsidR="008116CF" w:rsidRDefault="008116CF" w:rsidP="001370DD">
      <w:pPr>
        <w:spacing w:after="0" w:line="240" w:lineRule="auto"/>
      </w:pPr>
      <w:r>
        <w:continuationSeparator/>
      </w:r>
    </w:p>
  </w:endnote>
  <w:endnote w:type="continuationNotice" w:id="1">
    <w:p w14:paraId="5089592E" w14:textId="77777777" w:rsidR="008116CF" w:rsidRDefault="008116CF"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0EA6D" w14:textId="77777777" w:rsidR="0015672D" w:rsidRDefault="0015672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34990D5D"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433BF6">
                            <w:rPr>
                              <w:rStyle w:val="slostrnky"/>
                              <w:noProof/>
                            </w:rPr>
                            <w:t>14</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34990D5D"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433BF6">
                      <w:rPr>
                        <w:rStyle w:val="slostrnky"/>
                        <w:noProof/>
                      </w:rPr>
                      <w:t>14</w:t>
                    </w:r>
                    <w:r>
                      <w:rPr>
                        <w:rStyle w:val="slostrnky"/>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1ABE" w14:textId="77777777" w:rsidR="0015672D" w:rsidRDefault="001567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E3EE1" w14:textId="77777777" w:rsidR="008116CF" w:rsidRDefault="008116CF" w:rsidP="00B42128">
      <w:pPr>
        <w:spacing w:after="0" w:line="240" w:lineRule="auto"/>
      </w:pPr>
      <w:r w:rsidRPr="001370DD">
        <w:separator/>
      </w:r>
    </w:p>
  </w:footnote>
  <w:footnote w:type="continuationSeparator" w:id="0">
    <w:p w14:paraId="75230685" w14:textId="77777777" w:rsidR="008116CF" w:rsidRDefault="008116CF" w:rsidP="001370DD">
      <w:pPr>
        <w:spacing w:after="0" w:line="240" w:lineRule="auto"/>
      </w:pPr>
      <w:r>
        <w:continuationSeparator/>
      </w:r>
    </w:p>
  </w:footnote>
  <w:footnote w:type="continuationNotice" w:id="1">
    <w:p w14:paraId="242890CB" w14:textId="77777777" w:rsidR="008116CF" w:rsidRDefault="008116CF"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433BF6">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3BF6">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433BF6">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E8406E7A"/>
    <w:lvl w:ilvl="0">
      <w:start w:val="1"/>
      <w:numFmt w:val="decimal"/>
      <w:lvlText w:val="%1."/>
      <w:lvlJc w:val="left"/>
      <w:pPr>
        <w:ind w:left="1065" w:hanging="705"/>
      </w:pPr>
      <w:rPr>
        <w:rFonts w:cs="Times New Roman"/>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36C9"/>
    <w:rsid w:val="000671E2"/>
    <w:rsid w:val="00077CF6"/>
    <w:rsid w:val="0008220B"/>
    <w:rsid w:val="0009030E"/>
    <w:rsid w:val="00094BC6"/>
    <w:rsid w:val="000975E8"/>
    <w:rsid w:val="000A1691"/>
    <w:rsid w:val="000A7564"/>
    <w:rsid w:val="000B0D5C"/>
    <w:rsid w:val="000B3771"/>
    <w:rsid w:val="000B75C8"/>
    <w:rsid w:val="000C7C21"/>
    <w:rsid w:val="000D0134"/>
    <w:rsid w:val="000D1803"/>
    <w:rsid w:val="000E51CA"/>
    <w:rsid w:val="000F1903"/>
    <w:rsid w:val="00105B83"/>
    <w:rsid w:val="0011072C"/>
    <w:rsid w:val="0011782B"/>
    <w:rsid w:val="00120E9D"/>
    <w:rsid w:val="00130609"/>
    <w:rsid w:val="0013075D"/>
    <w:rsid w:val="001370DD"/>
    <w:rsid w:val="00142E34"/>
    <w:rsid w:val="00143677"/>
    <w:rsid w:val="0015672D"/>
    <w:rsid w:val="00163B71"/>
    <w:rsid w:val="00163D96"/>
    <w:rsid w:val="00164FD0"/>
    <w:rsid w:val="00171D9D"/>
    <w:rsid w:val="0017724E"/>
    <w:rsid w:val="001A01A0"/>
    <w:rsid w:val="001B6D32"/>
    <w:rsid w:val="001C3DD0"/>
    <w:rsid w:val="001D1C16"/>
    <w:rsid w:val="001D59E4"/>
    <w:rsid w:val="001E00F1"/>
    <w:rsid w:val="001E0EEB"/>
    <w:rsid w:val="001E1AA9"/>
    <w:rsid w:val="001E21AB"/>
    <w:rsid w:val="001E3F14"/>
    <w:rsid w:val="001F040D"/>
    <w:rsid w:val="001F7DCC"/>
    <w:rsid w:val="002105D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37FE"/>
    <w:rsid w:val="002E44DE"/>
    <w:rsid w:val="002E4784"/>
    <w:rsid w:val="002E5A39"/>
    <w:rsid w:val="002F01D5"/>
    <w:rsid w:val="002F1627"/>
    <w:rsid w:val="002F21F7"/>
    <w:rsid w:val="002F41DD"/>
    <w:rsid w:val="00303D44"/>
    <w:rsid w:val="003040F8"/>
    <w:rsid w:val="00306E82"/>
    <w:rsid w:val="00307325"/>
    <w:rsid w:val="00307358"/>
    <w:rsid w:val="00316753"/>
    <w:rsid w:val="00322F4E"/>
    <w:rsid w:val="0032608B"/>
    <w:rsid w:val="00326BF8"/>
    <w:rsid w:val="00330589"/>
    <w:rsid w:val="00331A90"/>
    <w:rsid w:val="00345E03"/>
    <w:rsid w:val="00375B6E"/>
    <w:rsid w:val="003808AD"/>
    <w:rsid w:val="00383FC4"/>
    <w:rsid w:val="0039381B"/>
    <w:rsid w:val="003A01A4"/>
    <w:rsid w:val="003B7741"/>
    <w:rsid w:val="003C4964"/>
    <w:rsid w:val="003E058D"/>
    <w:rsid w:val="003F4422"/>
    <w:rsid w:val="003F4870"/>
    <w:rsid w:val="00400032"/>
    <w:rsid w:val="00411BAB"/>
    <w:rsid w:val="00421DE8"/>
    <w:rsid w:val="004276B0"/>
    <w:rsid w:val="00433BF6"/>
    <w:rsid w:val="00446106"/>
    <w:rsid w:val="0045484E"/>
    <w:rsid w:val="00454980"/>
    <w:rsid w:val="00462926"/>
    <w:rsid w:val="0046300E"/>
    <w:rsid w:val="00465A5E"/>
    <w:rsid w:val="004676E1"/>
    <w:rsid w:val="00473775"/>
    <w:rsid w:val="0048068C"/>
    <w:rsid w:val="004A1946"/>
    <w:rsid w:val="004A4E88"/>
    <w:rsid w:val="004B7F30"/>
    <w:rsid w:val="004C2328"/>
    <w:rsid w:val="004D0535"/>
    <w:rsid w:val="004D24FA"/>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739F6"/>
    <w:rsid w:val="0058165C"/>
    <w:rsid w:val="00581E15"/>
    <w:rsid w:val="005911E4"/>
    <w:rsid w:val="00593F3B"/>
    <w:rsid w:val="005977CA"/>
    <w:rsid w:val="00597A8C"/>
    <w:rsid w:val="005B3D0E"/>
    <w:rsid w:val="005B5610"/>
    <w:rsid w:val="005C398C"/>
    <w:rsid w:val="005D5AE7"/>
    <w:rsid w:val="005D5BF5"/>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92793"/>
    <w:rsid w:val="006A25D5"/>
    <w:rsid w:val="006A2F0D"/>
    <w:rsid w:val="006A6EF1"/>
    <w:rsid w:val="006C7AAF"/>
    <w:rsid w:val="006E0F73"/>
    <w:rsid w:val="006F4AC7"/>
    <w:rsid w:val="00701C8D"/>
    <w:rsid w:val="00702001"/>
    <w:rsid w:val="00702129"/>
    <w:rsid w:val="00711531"/>
    <w:rsid w:val="00711FB4"/>
    <w:rsid w:val="007417C6"/>
    <w:rsid w:val="0075407E"/>
    <w:rsid w:val="007646AB"/>
    <w:rsid w:val="00770E02"/>
    <w:rsid w:val="007820CB"/>
    <w:rsid w:val="007865A0"/>
    <w:rsid w:val="007A7CD2"/>
    <w:rsid w:val="007B62DE"/>
    <w:rsid w:val="007C3E1D"/>
    <w:rsid w:val="007C448D"/>
    <w:rsid w:val="007D07F9"/>
    <w:rsid w:val="007D116B"/>
    <w:rsid w:val="007D40BB"/>
    <w:rsid w:val="007E43A7"/>
    <w:rsid w:val="00804E77"/>
    <w:rsid w:val="008057F1"/>
    <w:rsid w:val="008064A9"/>
    <w:rsid w:val="008116CF"/>
    <w:rsid w:val="00815892"/>
    <w:rsid w:val="00823EC5"/>
    <w:rsid w:val="00826B1F"/>
    <w:rsid w:val="008407FE"/>
    <w:rsid w:val="00846C39"/>
    <w:rsid w:val="00851AF2"/>
    <w:rsid w:val="00855785"/>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147E2"/>
    <w:rsid w:val="00925EB5"/>
    <w:rsid w:val="009374E1"/>
    <w:rsid w:val="009418EF"/>
    <w:rsid w:val="009505D6"/>
    <w:rsid w:val="00951F24"/>
    <w:rsid w:val="00976DC7"/>
    <w:rsid w:val="00984A32"/>
    <w:rsid w:val="00997462"/>
    <w:rsid w:val="009C34CF"/>
    <w:rsid w:val="009D52E8"/>
    <w:rsid w:val="009E0BEB"/>
    <w:rsid w:val="009E29DB"/>
    <w:rsid w:val="009F5184"/>
    <w:rsid w:val="00A14520"/>
    <w:rsid w:val="00A2355C"/>
    <w:rsid w:val="00A43BD2"/>
    <w:rsid w:val="00A44250"/>
    <w:rsid w:val="00A450D7"/>
    <w:rsid w:val="00A64F10"/>
    <w:rsid w:val="00A660A9"/>
    <w:rsid w:val="00A835B1"/>
    <w:rsid w:val="00A91A91"/>
    <w:rsid w:val="00A93E16"/>
    <w:rsid w:val="00AB39DD"/>
    <w:rsid w:val="00AB75C2"/>
    <w:rsid w:val="00AD2779"/>
    <w:rsid w:val="00AD558B"/>
    <w:rsid w:val="00B00B16"/>
    <w:rsid w:val="00B01F0B"/>
    <w:rsid w:val="00B2045F"/>
    <w:rsid w:val="00B208F6"/>
    <w:rsid w:val="00B252F2"/>
    <w:rsid w:val="00B26447"/>
    <w:rsid w:val="00B42128"/>
    <w:rsid w:val="00B569A1"/>
    <w:rsid w:val="00B61F32"/>
    <w:rsid w:val="00B64F7F"/>
    <w:rsid w:val="00B721D5"/>
    <w:rsid w:val="00B846AC"/>
    <w:rsid w:val="00B84F19"/>
    <w:rsid w:val="00BB10CF"/>
    <w:rsid w:val="00BC2231"/>
    <w:rsid w:val="00BC313D"/>
    <w:rsid w:val="00BC32F4"/>
    <w:rsid w:val="00BD5660"/>
    <w:rsid w:val="00BD602E"/>
    <w:rsid w:val="00BE12A6"/>
    <w:rsid w:val="00BE1CF9"/>
    <w:rsid w:val="00BF5A45"/>
    <w:rsid w:val="00C1102C"/>
    <w:rsid w:val="00C12AA0"/>
    <w:rsid w:val="00C378BC"/>
    <w:rsid w:val="00C411BC"/>
    <w:rsid w:val="00C47AE3"/>
    <w:rsid w:val="00C52CFC"/>
    <w:rsid w:val="00C55543"/>
    <w:rsid w:val="00C62907"/>
    <w:rsid w:val="00C87303"/>
    <w:rsid w:val="00C9683D"/>
    <w:rsid w:val="00CB12D2"/>
    <w:rsid w:val="00CB5905"/>
    <w:rsid w:val="00CC01F6"/>
    <w:rsid w:val="00CC42CE"/>
    <w:rsid w:val="00CC7499"/>
    <w:rsid w:val="00CD3BF2"/>
    <w:rsid w:val="00CF42F4"/>
    <w:rsid w:val="00CF7DF0"/>
    <w:rsid w:val="00D172D6"/>
    <w:rsid w:val="00D435EE"/>
    <w:rsid w:val="00D474DE"/>
    <w:rsid w:val="00D47DDE"/>
    <w:rsid w:val="00D51EF4"/>
    <w:rsid w:val="00D54E5E"/>
    <w:rsid w:val="00D65C4C"/>
    <w:rsid w:val="00D70A43"/>
    <w:rsid w:val="00D76257"/>
    <w:rsid w:val="00D8145D"/>
    <w:rsid w:val="00DA148B"/>
    <w:rsid w:val="00DB0F8B"/>
    <w:rsid w:val="00DB70F4"/>
    <w:rsid w:val="00DC4CFF"/>
    <w:rsid w:val="00DD0196"/>
    <w:rsid w:val="00DD569B"/>
    <w:rsid w:val="00DE4885"/>
    <w:rsid w:val="00DF03B0"/>
    <w:rsid w:val="00DF0542"/>
    <w:rsid w:val="00DF211A"/>
    <w:rsid w:val="00E018A3"/>
    <w:rsid w:val="00E05525"/>
    <w:rsid w:val="00E063F3"/>
    <w:rsid w:val="00E0665A"/>
    <w:rsid w:val="00E316A3"/>
    <w:rsid w:val="00E45683"/>
    <w:rsid w:val="00E4660B"/>
    <w:rsid w:val="00E612BF"/>
    <w:rsid w:val="00E8782E"/>
    <w:rsid w:val="00E944D8"/>
    <w:rsid w:val="00E95AD3"/>
    <w:rsid w:val="00EA5F1C"/>
    <w:rsid w:val="00EC1752"/>
    <w:rsid w:val="00EC64EC"/>
    <w:rsid w:val="00EE0AF5"/>
    <w:rsid w:val="00EE4596"/>
    <w:rsid w:val="00EE6911"/>
    <w:rsid w:val="00F01750"/>
    <w:rsid w:val="00F04449"/>
    <w:rsid w:val="00F120B3"/>
    <w:rsid w:val="00F16938"/>
    <w:rsid w:val="00F22C0B"/>
    <w:rsid w:val="00F23DE6"/>
    <w:rsid w:val="00F26729"/>
    <w:rsid w:val="00F3219A"/>
    <w:rsid w:val="00F46985"/>
    <w:rsid w:val="00F54126"/>
    <w:rsid w:val="00F6105E"/>
    <w:rsid w:val="00F61C5E"/>
    <w:rsid w:val="00F61DD4"/>
    <w:rsid w:val="00F64188"/>
    <w:rsid w:val="00F66518"/>
    <w:rsid w:val="00F67266"/>
    <w:rsid w:val="00F756B8"/>
    <w:rsid w:val="00F761B9"/>
    <w:rsid w:val="00F76F59"/>
    <w:rsid w:val="00F8042A"/>
    <w:rsid w:val="00F84677"/>
    <w:rsid w:val="00FA433D"/>
    <w:rsid w:val="00FA5033"/>
    <w:rsid w:val="00FB3182"/>
    <w:rsid w:val="00FC169C"/>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3E4BE-4465-4A21-96D5-70C1FD041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5376</Words>
  <Characters>31725</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2017-05-24T08:40:00Z</dcterms:created>
  <dcterms:modified xsi:type="dcterms:W3CDTF">2017-08-22T11:34:00Z</dcterms:modified>
</cp:coreProperties>
</file>