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54AA" w14:textId="64B21BB2" w:rsidR="008B5DA6" w:rsidRPr="008B5DA6" w:rsidRDefault="004821F7" w:rsidP="008B5DA6">
      <w:pPr>
        <w:pStyle w:val="Nzev"/>
        <w:spacing w:after="0"/>
        <w:rPr>
          <w:rFonts w:ascii="Times New Roman" w:hAnsi="Times New Roman"/>
          <w:sz w:val="24"/>
          <w:szCs w:val="24"/>
          <w:lang w:val="en-US"/>
        </w:rPr>
      </w:pPr>
      <w:r w:rsidRPr="008B5DA6">
        <w:rPr>
          <w:rFonts w:ascii="Times New Roman" w:hAnsi="Times New Roman"/>
          <w:sz w:val="24"/>
          <w:szCs w:val="24"/>
          <w:lang w:val="en-US"/>
        </w:rPr>
        <w:t>Annex no</w:t>
      </w:r>
      <w:r w:rsidR="005D42CA" w:rsidRPr="008B5DA6">
        <w:rPr>
          <w:rFonts w:ascii="Times New Roman" w:hAnsi="Times New Roman"/>
          <w:sz w:val="24"/>
          <w:szCs w:val="24"/>
          <w:lang w:val="en-US"/>
        </w:rPr>
        <w:t xml:space="preserve">.1 </w:t>
      </w:r>
      <w:r w:rsidR="008B5DA6" w:rsidRPr="008B5DA6"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="00A84FFA">
        <w:rPr>
          <w:rFonts w:ascii="Times New Roman" w:hAnsi="Times New Roman"/>
          <w:sz w:val="24"/>
          <w:szCs w:val="24"/>
          <w:lang w:val="en-US"/>
        </w:rPr>
        <w:t>t</w:t>
      </w:r>
      <w:r w:rsidR="00A84FFA" w:rsidRPr="008B5DA6">
        <w:rPr>
          <w:rFonts w:ascii="Times New Roman" w:hAnsi="Times New Roman"/>
          <w:sz w:val="24"/>
          <w:szCs w:val="24"/>
          <w:lang w:val="en-US"/>
        </w:rPr>
        <w:t xml:space="preserve">ender </w:t>
      </w:r>
      <w:r w:rsidR="008B5DA6" w:rsidRPr="008B5DA6">
        <w:rPr>
          <w:rFonts w:ascii="Times New Roman" w:hAnsi="Times New Roman"/>
          <w:sz w:val="24"/>
          <w:szCs w:val="24"/>
          <w:lang w:val="en-US"/>
        </w:rPr>
        <w:t>documentation for below-threshold public contract</w:t>
      </w:r>
      <w:r w:rsidR="00E516B1" w:rsidRPr="008B5DA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05DB875" w14:textId="5B1D2E5E" w:rsidR="00130B4B" w:rsidRPr="008B5DA6" w:rsidRDefault="00E516B1" w:rsidP="008B5DA6">
      <w:pPr>
        <w:pStyle w:val="Nzev"/>
        <w:spacing w:before="0"/>
        <w:rPr>
          <w:rFonts w:ascii="Times New Roman" w:hAnsi="Times New Roman"/>
          <w:sz w:val="24"/>
          <w:szCs w:val="24"/>
          <w:lang w:val="en-US"/>
        </w:rPr>
      </w:pPr>
      <w:r w:rsidRPr="008B5DA6">
        <w:rPr>
          <w:rFonts w:ascii="Times New Roman" w:hAnsi="Times New Roman"/>
          <w:sz w:val="24"/>
          <w:szCs w:val="24"/>
          <w:lang w:val="en-US"/>
        </w:rPr>
        <w:t>„</w:t>
      </w:r>
      <w:r w:rsidR="004821F7" w:rsidRPr="008B5DA6">
        <w:rPr>
          <w:rFonts w:ascii="Times New Roman" w:hAnsi="Times New Roman"/>
          <w:sz w:val="24"/>
          <w:szCs w:val="24"/>
          <w:lang w:val="en-US"/>
        </w:rPr>
        <w:t xml:space="preserve">Development and Delivery of 2L </w:t>
      </w:r>
      <w:r w:rsidR="00A84FFA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4821F7" w:rsidRPr="008B5DA6">
        <w:rPr>
          <w:rFonts w:ascii="Times New Roman" w:hAnsi="Times New Roman"/>
          <w:sz w:val="24"/>
          <w:szCs w:val="24"/>
          <w:lang w:val="en-US"/>
        </w:rPr>
        <w:t>Hydroisomerization Catalyst</w:t>
      </w:r>
      <w:r w:rsidR="00E67A06" w:rsidRPr="008B5DA6">
        <w:rPr>
          <w:rFonts w:ascii="Times New Roman" w:hAnsi="Times New Roman"/>
          <w:sz w:val="24"/>
          <w:szCs w:val="24"/>
          <w:lang w:val="en-US"/>
        </w:rPr>
        <w:t>“</w:t>
      </w:r>
    </w:p>
    <w:p w14:paraId="167A2AFC" w14:textId="77777777" w:rsidR="00C36684" w:rsidRPr="00966EF6" w:rsidRDefault="00C36684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en-US" w:eastAsia="cs-CZ"/>
        </w:rPr>
      </w:pPr>
    </w:p>
    <w:p w14:paraId="6BC05E85" w14:textId="27FEED0F" w:rsidR="004821F7" w:rsidRPr="00966EF6" w:rsidRDefault="004821F7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en-US" w:eastAsia="cs-CZ"/>
        </w:rPr>
      </w:pPr>
      <w:r w:rsidRPr="00966EF6">
        <w:rPr>
          <w:rFonts w:ascii="Times New Roman" w:hAnsi="Times New Roman"/>
          <w:szCs w:val="24"/>
          <w:lang w:val="en-US" w:eastAsia="cs-CZ"/>
        </w:rPr>
        <w:t>Catalyst for hydroisomerization of the diesel fraction obtained from Fischer-Tropsch waxes: n-alkanes with a chain length of C12 + in the absence of a sulfuric compound.</w:t>
      </w:r>
    </w:p>
    <w:p w14:paraId="5690E5C0" w14:textId="77777777" w:rsidR="00B72AAD" w:rsidRPr="00966EF6" w:rsidRDefault="00B72AAD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val="en-US"/>
        </w:rPr>
      </w:pPr>
    </w:p>
    <w:p w14:paraId="363FA0C5" w14:textId="7C7BA510" w:rsidR="004821F7" w:rsidRPr="00966EF6" w:rsidRDefault="004821F7" w:rsidP="00A3412E">
      <w:pPr>
        <w:jc w:val="both"/>
        <w:rPr>
          <w:rFonts w:ascii="Times New Roman" w:hAnsi="Times New Roman"/>
          <w:lang w:val="en-US"/>
        </w:rPr>
      </w:pPr>
      <w:r w:rsidRPr="00966EF6">
        <w:rPr>
          <w:rFonts w:ascii="Times New Roman" w:hAnsi="Times New Roman"/>
          <w:lang w:val="en-US"/>
        </w:rPr>
        <w:t xml:space="preserve">The </w:t>
      </w:r>
      <w:r w:rsidR="00741018">
        <w:rPr>
          <w:rFonts w:ascii="Times New Roman" w:hAnsi="Times New Roman"/>
          <w:lang w:val="en-US"/>
        </w:rPr>
        <w:t>demanded</w:t>
      </w:r>
      <w:r w:rsidR="00741018" w:rsidRPr="00966EF6">
        <w:rPr>
          <w:rFonts w:ascii="Times New Roman" w:hAnsi="Times New Roman"/>
          <w:lang w:val="en-US"/>
        </w:rPr>
        <w:t xml:space="preserve"> </w:t>
      </w:r>
      <w:r w:rsidRPr="00966EF6">
        <w:rPr>
          <w:rFonts w:ascii="Times New Roman" w:hAnsi="Times New Roman"/>
          <w:lang w:val="en-US"/>
        </w:rPr>
        <w:t xml:space="preserve">product "2L </w:t>
      </w:r>
      <w:r w:rsidR="00741018">
        <w:rPr>
          <w:rFonts w:ascii="Times New Roman" w:hAnsi="Times New Roman"/>
          <w:lang w:val="en-US"/>
        </w:rPr>
        <w:t xml:space="preserve">of </w:t>
      </w:r>
      <w:r w:rsidRPr="00966EF6">
        <w:rPr>
          <w:rFonts w:ascii="Times New Roman" w:hAnsi="Times New Roman"/>
          <w:lang w:val="en-US"/>
        </w:rPr>
        <w:t xml:space="preserve">Hydroisomerization Catalyst" will be used for a hydroisomerization process to improve the </w:t>
      </w:r>
      <w:r w:rsidR="00741018">
        <w:rPr>
          <w:rFonts w:ascii="Times New Roman" w:hAnsi="Times New Roman"/>
          <w:lang w:val="en-US"/>
        </w:rPr>
        <w:t>low-temperature</w:t>
      </w:r>
      <w:r w:rsidRPr="00966EF6">
        <w:rPr>
          <w:rFonts w:ascii="Times New Roman" w:hAnsi="Times New Roman"/>
          <w:lang w:val="en-US"/>
        </w:rPr>
        <w:t xml:space="preserve"> </w:t>
      </w:r>
      <w:r w:rsidR="00741018">
        <w:rPr>
          <w:rFonts w:ascii="Times New Roman" w:hAnsi="Times New Roman"/>
          <w:lang w:val="en-US"/>
        </w:rPr>
        <w:t>qualities</w:t>
      </w:r>
      <w:r w:rsidR="00741018" w:rsidRPr="00966EF6">
        <w:rPr>
          <w:rFonts w:ascii="Times New Roman" w:hAnsi="Times New Roman"/>
          <w:lang w:val="en-US"/>
        </w:rPr>
        <w:t xml:space="preserve"> </w:t>
      </w:r>
      <w:r w:rsidRPr="00966EF6">
        <w:rPr>
          <w:rFonts w:ascii="Times New Roman" w:hAnsi="Times New Roman"/>
          <w:lang w:val="en-US"/>
        </w:rPr>
        <w:t>of the sulfur-free Fischer-Tropsch Diesel fraction.</w:t>
      </w:r>
    </w:p>
    <w:p w14:paraId="61199804" w14:textId="52CB4525" w:rsidR="009C5BCC" w:rsidRPr="00966EF6" w:rsidRDefault="009C5BCC" w:rsidP="002356D0">
      <w:pPr>
        <w:jc w:val="both"/>
        <w:rPr>
          <w:rFonts w:ascii="Times New Roman" w:eastAsia="Times New Roman" w:hAnsi="Times New Roman"/>
          <w:bCs/>
          <w:color w:val="000000"/>
          <w:lang w:val="en-US" w:eastAsia="cs-CZ"/>
        </w:rPr>
      </w:pPr>
      <w:r w:rsidRPr="00966EF6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The catalyst will be used </w:t>
      </w:r>
      <w:r w:rsidR="00BB784A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by the contracting authority </w:t>
      </w:r>
      <w:r w:rsidRPr="00966EF6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in </w:t>
      </w:r>
      <w:r w:rsidR="003905E8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a </w:t>
      </w:r>
      <w:r w:rsidR="003905E8" w:rsidRPr="00966EF6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fixed bed </w:t>
      </w:r>
      <w:bookmarkStart w:id="0" w:name="_GoBack"/>
      <w:bookmarkEnd w:id="0"/>
      <w:r w:rsidR="00BB784A">
        <w:rPr>
          <w:rFonts w:ascii="Times New Roman" w:eastAsia="Times New Roman" w:hAnsi="Times New Roman"/>
          <w:bCs/>
          <w:color w:val="000000"/>
          <w:lang w:val="en-US" w:eastAsia="cs-CZ"/>
        </w:rPr>
        <w:t>technology equipment</w:t>
      </w:r>
      <w:r w:rsidRPr="00966EF6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 </w:t>
      </w:r>
      <w:r w:rsidR="003905E8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 </w:t>
      </w:r>
      <w:r w:rsidR="00BB784A">
        <w:rPr>
          <w:rFonts w:ascii="Times New Roman" w:eastAsia="Times New Roman" w:hAnsi="Times New Roman"/>
          <w:bCs/>
          <w:color w:val="000000"/>
          <w:lang w:val="en-US" w:eastAsia="cs-CZ"/>
        </w:rPr>
        <w:t>with</w:t>
      </w:r>
      <w:r w:rsidR="00BB784A" w:rsidRPr="00966EF6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 </w:t>
      </w:r>
      <w:r w:rsidRPr="00966EF6">
        <w:rPr>
          <w:rFonts w:ascii="Times New Roman" w:eastAsia="Times New Roman" w:hAnsi="Times New Roman"/>
          <w:bCs/>
          <w:color w:val="000000"/>
          <w:lang w:val="en-US" w:eastAsia="cs-CZ"/>
        </w:rPr>
        <w:t>operation  temperature range from 0 to 500 ° C and a pressure range from 0 to 20 MPa.</w:t>
      </w:r>
    </w:p>
    <w:p w14:paraId="2F8486EB" w14:textId="7CE0D773" w:rsidR="009C5BCC" w:rsidRPr="00966EF6" w:rsidRDefault="009C5BCC" w:rsidP="009C5BCC">
      <w:pPr>
        <w:jc w:val="both"/>
        <w:rPr>
          <w:rFonts w:ascii="Times New Roman" w:eastAsia="Times New Roman" w:hAnsi="Times New Roman"/>
          <w:bCs/>
          <w:color w:val="000000"/>
          <w:lang w:val="en-US" w:eastAsia="cs-CZ"/>
        </w:rPr>
      </w:pPr>
      <w:r w:rsidRPr="00966EF6">
        <w:rPr>
          <w:rFonts w:ascii="Times New Roman" w:eastAsia="Times New Roman" w:hAnsi="Times New Roman"/>
          <w:bCs/>
          <w:color w:val="000000"/>
          <w:lang w:val="en-US" w:eastAsia="cs-CZ"/>
        </w:rPr>
        <w:t>Characteristics of feedstock: Fraction boiling from 180 ° C to 360 ° C, n-paraffin: 98% w / w.</w:t>
      </w:r>
      <w:r w:rsidR="001B4E85" w:rsidRPr="00966EF6">
        <w:rPr>
          <w:rFonts w:ascii="Times New Roman" w:eastAsia="Times New Roman" w:hAnsi="Times New Roman"/>
          <w:bCs/>
          <w:color w:val="000000"/>
          <w:lang w:val="en-US" w:eastAsia="cs-CZ"/>
        </w:rPr>
        <w:t xml:space="preserve"> </w:t>
      </w:r>
    </w:p>
    <w:p w14:paraId="58B64C6A" w14:textId="5B289107" w:rsidR="009C5BCC" w:rsidRPr="00202335" w:rsidRDefault="00993678" w:rsidP="00202335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color w:val="000000"/>
          <w:lang w:val="en-US" w:eastAsia="cs-CZ"/>
        </w:rPr>
      </w:pPr>
      <w:r>
        <w:rPr>
          <w:rFonts w:ascii="Times New Roman" w:eastAsia="Times New Roman" w:hAnsi="Times New Roman"/>
          <w:bCs/>
          <w:color w:val="000000"/>
          <w:lang w:val="en-US" w:eastAsia="cs-CZ"/>
        </w:rPr>
        <w:t>r</w:t>
      </w:r>
      <w:r w:rsidR="009C5BCC" w:rsidRPr="00202335">
        <w:rPr>
          <w:rFonts w:ascii="Times New Roman" w:eastAsia="Times New Roman" w:hAnsi="Times New Roman"/>
          <w:bCs/>
          <w:color w:val="000000"/>
          <w:lang w:val="en-US" w:eastAsia="cs-CZ"/>
        </w:rPr>
        <w:t>esistance in different gas composition, especially in N2, H2, CO2.</w:t>
      </w:r>
    </w:p>
    <w:p w14:paraId="5F36542F" w14:textId="3E50ABA9" w:rsidR="006A71A0" w:rsidRPr="00966EF6" w:rsidRDefault="00F117D8" w:rsidP="00412E24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66EF6">
        <w:rPr>
          <w:rFonts w:ascii="Times New Roman" w:hAnsi="Times New Roman"/>
          <w:b/>
          <w:bCs/>
          <w:sz w:val="24"/>
          <w:szCs w:val="24"/>
          <w:lang w:val="en-US"/>
        </w:rPr>
        <w:t>Mini</w:t>
      </w:r>
      <w:r w:rsidR="004B4058" w:rsidRPr="00966EF6">
        <w:rPr>
          <w:rFonts w:ascii="Times New Roman" w:hAnsi="Times New Roman"/>
          <w:b/>
          <w:bCs/>
          <w:sz w:val="24"/>
          <w:szCs w:val="24"/>
          <w:lang w:val="en-US"/>
        </w:rPr>
        <w:t>mal technical requirements</w:t>
      </w:r>
      <w:r w:rsidRPr="00966E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B4058" w:rsidRPr="00966EF6">
        <w:rPr>
          <w:rFonts w:ascii="Times New Roman" w:hAnsi="Times New Roman"/>
          <w:b/>
          <w:bCs/>
          <w:sz w:val="24"/>
          <w:szCs w:val="24"/>
          <w:lang w:val="en-US"/>
        </w:rPr>
        <w:t>– operating conditions</w:t>
      </w:r>
      <w:r w:rsidRPr="00966E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B4058" w:rsidRPr="00966EF6">
        <w:rPr>
          <w:rFonts w:ascii="Times New Roman" w:hAnsi="Times New Roman"/>
          <w:b/>
          <w:bCs/>
          <w:sz w:val="24"/>
          <w:szCs w:val="24"/>
          <w:lang w:val="en-US"/>
        </w:rPr>
        <w:t xml:space="preserve">of </w:t>
      </w:r>
      <w:r w:rsidR="008A7050">
        <w:rPr>
          <w:rFonts w:ascii="Times New Roman" w:hAnsi="Times New Roman"/>
          <w:b/>
          <w:bCs/>
          <w:sz w:val="24"/>
          <w:szCs w:val="24"/>
          <w:lang w:val="en-US"/>
        </w:rPr>
        <w:t>the</w:t>
      </w:r>
      <w:r w:rsidR="008A7050" w:rsidRPr="00966E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4B4058" w:rsidRPr="00966EF6">
        <w:rPr>
          <w:rFonts w:ascii="Times New Roman" w:hAnsi="Times New Roman"/>
          <w:b/>
          <w:bCs/>
          <w:sz w:val="24"/>
          <w:szCs w:val="24"/>
          <w:lang w:val="en-US"/>
        </w:rPr>
        <w:t>catalyst</w:t>
      </w:r>
      <w:r w:rsidR="006A71A0" w:rsidRPr="00966EF6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42487AAC" w14:textId="77777777" w:rsidR="007846AC" w:rsidRPr="00966EF6" w:rsidRDefault="005462CE" w:rsidP="005462CE">
      <w:pPr>
        <w:spacing w:after="120" w:line="240" w:lineRule="auto"/>
        <w:ind w:left="357"/>
        <w:rPr>
          <w:rFonts w:ascii="Times New Roman" w:hAnsi="Times New Roman"/>
          <w:b/>
          <w:bCs/>
          <w:color w:val="BFBFBF"/>
          <w:sz w:val="24"/>
          <w:szCs w:val="24"/>
          <w:lang w:val="en-US"/>
        </w:rPr>
      </w:pPr>
      <w:r w:rsidRPr="00966EF6">
        <w:rPr>
          <w:rFonts w:ascii="Times New Roman" w:hAnsi="Times New Roman"/>
          <w:b/>
          <w:bCs/>
          <w:color w:val="BFBFBF"/>
          <w:sz w:val="24"/>
          <w:szCs w:val="24"/>
          <w:lang w:val="en-US"/>
        </w:rPr>
        <w:t>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2"/>
        <w:gridCol w:w="2740"/>
      </w:tblGrid>
      <w:tr w:rsidR="00FD6365" w:rsidRPr="00966EF6" w14:paraId="32125861" w14:textId="77777777" w:rsidTr="005E69B6">
        <w:tc>
          <w:tcPr>
            <w:tcW w:w="5962" w:type="dxa"/>
            <w:tcBorders>
              <w:bottom w:val="double" w:sz="4" w:space="0" w:color="auto"/>
            </w:tcBorders>
            <w:vAlign w:val="center"/>
          </w:tcPr>
          <w:p w14:paraId="7196EC07" w14:textId="1BB6EC18" w:rsidR="00FD6365" w:rsidRPr="00966EF6" w:rsidRDefault="004B4058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  <w:lang w:val="en-US"/>
              </w:rPr>
            </w:pPr>
            <w:bookmarkStart w:id="1" w:name="_Hlk519763726"/>
            <w:r w:rsidRPr="00966EF6">
              <w:rPr>
                <w:rFonts w:ascii="Times New Roman" w:hAnsi="Times New Roman"/>
                <w:b/>
                <w:lang w:val="en-US"/>
              </w:rPr>
              <w:t>Requirements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14:paraId="45E9B6B0" w14:textId="37D63E5F" w:rsidR="004B6901" w:rsidRPr="00966EF6" w:rsidRDefault="00CD4421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 xml:space="preserve">Statement of the bidder (the bidder shall define the specifications fulfilled by the offered </w:t>
            </w:r>
            <w:r w:rsidR="008A7050"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catalyst</w:t>
            </w: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)</w:t>
            </w:r>
          </w:p>
        </w:tc>
      </w:tr>
      <w:tr w:rsidR="007846AC" w:rsidRPr="00966EF6" w14:paraId="6C83EC1B" w14:textId="77777777" w:rsidTr="00917DBD">
        <w:tc>
          <w:tcPr>
            <w:tcW w:w="5962" w:type="dxa"/>
            <w:vAlign w:val="center"/>
          </w:tcPr>
          <w:p w14:paraId="04D53DEF" w14:textId="28C24BDF" w:rsidR="000C1D2F" w:rsidRPr="00966EF6" w:rsidRDefault="004B4058" w:rsidP="00917DB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6EF6">
              <w:rPr>
                <w:rFonts w:ascii="Times New Roman" w:hAnsi="Times New Roman"/>
                <w:lang w:val="en-US"/>
              </w:rPr>
              <w:t xml:space="preserve">The length of the test cycle for which the catalyst is required to operate in the unchanged range: 30 calendar days </w:t>
            </w:r>
            <w:r w:rsidR="002356D0" w:rsidRPr="00966EF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740" w:type="dxa"/>
          </w:tcPr>
          <w:p w14:paraId="03B5B240" w14:textId="77777777" w:rsidR="007846AC" w:rsidRPr="00966EF6" w:rsidRDefault="007846AC" w:rsidP="00E5709C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B4058" w:rsidRPr="00966EF6" w14:paraId="7DFB2BC8" w14:textId="77777777" w:rsidTr="00917DBD">
        <w:tc>
          <w:tcPr>
            <w:tcW w:w="5962" w:type="dxa"/>
            <w:vAlign w:val="center"/>
          </w:tcPr>
          <w:p w14:paraId="1C05C41E" w14:textId="192098D5" w:rsidR="004B4058" w:rsidRPr="00966EF6" w:rsidRDefault="004B4058" w:rsidP="00917DB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6EF6">
              <w:rPr>
                <w:rFonts w:ascii="Times New Roman" w:hAnsi="Times New Roman"/>
                <w:lang w:val="en-US"/>
              </w:rPr>
              <w:t>Length of individual catalyst particles: min. 2,5mm</w:t>
            </w:r>
          </w:p>
        </w:tc>
        <w:tc>
          <w:tcPr>
            <w:tcW w:w="2740" w:type="dxa"/>
          </w:tcPr>
          <w:p w14:paraId="24417390" w14:textId="77777777" w:rsidR="004B4058" w:rsidRPr="00966EF6" w:rsidRDefault="004B4058" w:rsidP="004B405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4B4058" w:rsidRPr="00966EF6" w14:paraId="148073E4" w14:textId="77777777" w:rsidTr="00917DBD">
        <w:tc>
          <w:tcPr>
            <w:tcW w:w="5962" w:type="dxa"/>
            <w:vAlign w:val="center"/>
          </w:tcPr>
          <w:p w14:paraId="27CB9B02" w14:textId="3F402E36" w:rsidR="004B4058" w:rsidRPr="00966EF6" w:rsidRDefault="0052090A" w:rsidP="00917DB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966EF6">
              <w:rPr>
                <w:rFonts w:ascii="Times New Roman" w:hAnsi="Times New Roman"/>
                <w:lang w:val="en-US"/>
              </w:rPr>
              <w:t xml:space="preserve">iameter </w:t>
            </w:r>
            <w:r>
              <w:rPr>
                <w:rFonts w:ascii="Times New Roman" w:hAnsi="Times New Roman"/>
                <w:lang w:val="en-US"/>
              </w:rPr>
              <w:t xml:space="preserve">of the </w:t>
            </w:r>
            <w:r w:rsidR="004B4058" w:rsidRPr="00966EF6">
              <w:rPr>
                <w:rFonts w:ascii="Times New Roman" w:hAnsi="Times New Roman"/>
                <w:lang w:val="en-US"/>
              </w:rPr>
              <w:t>particle</w:t>
            </w:r>
            <w:r>
              <w:rPr>
                <w:rFonts w:ascii="Times New Roman" w:hAnsi="Times New Roman"/>
                <w:lang w:val="en-US"/>
              </w:rPr>
              <w:t>s</w:t>
            </w:r>
            <w:r w:rsidR="004B4058" w:rsidRPr="00966EF6">
              <w:rPr>
                <w:rFonts w:ascii="Times New Roman" w:hAnsi="Times New Roman"/>
                <w:lang w:val="en-US"/>
              </w:rPr>
              <w:t xml:space="preserve"> of the catalyst: 1.0mm -1.5mm</w:t>
            </w:r>
          </w:p>
        </w:tc>
        <w:tc>
          <w:tcPr>
            <w:tcW w:w="2740" w:type="dxa"/>
          </w:tcPr>
          <w:p w14:paraId="49065F3D" w14:textId="77777777" w:rsidR="004B4058" w:rsidRPr="00966EF6" w:rsidRDefault="004B4058" w:rsidP="004B4058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</w:p>
        </w:tc>
      </w:tr>
      <w:bookmarkEnd w:id="1"/>
    </w:tbl>
    <w:p w14:paraId="1EEAA54E" w14:textId="77777777" w:rsidR="007846AC" w:rsidRPr="00966EF6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  <w:lang w:val="en-US"/>
        </w:rPr>
      </w:pPr>
    </w:p>
    <w:p w14:paraId="2AD47302" w14:textId="46641739" w:rsidR="00D21534" w:rsidRPr="00966EF6" w:rsidRDefault="00917DBD" w:rsidP="00887F2D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66EF6">
        <w:rPr>
          <w:rFonts w:ascii="Times New Roman" w:hAnsi="Times New Roman"/>
          <w:b/>
          <w:bCs/>
          <w:sz w:val="24"/>
          <w:szCs w:val="24"/>
          <w:lang w:val="en-US"/>
        </w:rPr>
        <w:t>Minimal technical requirements for the final product</w:t>
      </w:r>
      <w:r w:rsidR="005017D8" w:rsidRPr="00966EF6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334CED1E" w14:textId="77777777" w:rsidR="00887F2D" w:rsidRPr="00966EF6" w:rsidRDefault="00887F2D" w:rsidP="00887F2D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2738"/>
      </w:tblGrid>
      <w:tr w:rsidR="00887F2D" w:rsidRPr="00966EF6" w14:paraId="77004636" w14:textId="77777777" w:rsidTr="00917DBD">
        <w:tc>
          <w:tcPr>
            <w:tcW w:w="5964" w:type="dxa"/>
            <w:tcBorders>
              <w:bottom w:val="double" w:sz="4" w:space="0" w:color="auto"/>
            </w:tcBorders>
            <w:vAlign w:val="center"/>
          </w:tcPr>
          <w:p w14:paraId="29316620" w14:textId="3ED4E939" w:rsidR="00887F2D" w:rsidRPr="00966EF6" w:rsidRDefault="004B4058" w:rsidP="004B4058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 w:rsidRPr="00966EF6">
              <w:rPr>
                <w:rFonts w:ascii="Times New Roman" w:hAnsi="Times New Roman"/>
                <w:b/>
                <w:lang w:val="en-US"/>
              </w:rPr>
              <w:t>Requirements</w:t>
            </w:r>
          </w:p>
        </w:tc>
        <w:tc>
          <w:tcPr>
            <w:tcW w:w="2738" w:type="dxa"/>
            <w:tcBorders>
              <w:bottom w:val="double" w:sz="4" w:space="0" w:color="auto"/>
            </w:tcBorders>
            <w:vAlign w:val="center"/>
          </w:tcPr>
          <w:p w14:paraId="6727A560" w14:textId="36DE5D88" w:rsidR="00887F2D" w:rsidRPr="00966EF6" w:rsidRDefault="00CD4421" w:rsidP="00917DBD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 xml:space="preserve">Statement of the bidder (the bidder shall define the specifications fulfilled by the offered </w:t>
            </w:r>
            <w:r w:rsidR="00B82070"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catalyst</w:t>
            </w: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)</w:t>
            </w:r>
          </w:p>
        </w:tc>
      </w:tr>
      <w:tr w:rsidR="00917DBD" w:rsidRPr="00966EF6" w14:paraId="45376A5A" w14:textId="77777777" w:rsidTr="00B2726D">
        <w:tc>
          <w:tcPr>
            <w:tcW w:w="5964" w:type="dxa"/>
            <w:tcBorders>
              <w:top w:val="double" w:sz="4" w:space="0" w:color="auto"/>
            </w:tcBorders>
          </w:tcPr>
          <w:p w14:paraId="60928CDC" w14:textId="2DA0E4E2" w:rsidR="00917DBD" w:rsidRPr="00966EF6" w:rsidRDefault="00917DBD" w:rsidP="00917DB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6EF6">
              <w:rPr>
                <w:rFonts w:ascii="Times New Roman" w:hAnsi="Times New Roman"/>
                <w:lang w:val="en-US"/>
              </w:rPr>
              <w:t>Parameter "CFPP" of an isomerization product:  at least -16 ° C or less</w:t>
            </w:r>
          </w:p>
        </w:tc>
        <w:tc>
          <w:tcPr>
            <w:tcW w:w="2738" w:type="dxa"/>
            <w:tcBorders>
              <w:top w:val="double" w:sz="4" w:space="0" w:color="auto"/>
            </w:tcBorders>
          </w:tcPr>
          <w:p w14:paraId="7132CEE0" w14:textId="77777777" w:rsidR="00917DBD" w:rsidRPr="00966EF6" w:rsidRDefault="00917DBD" w:rsidP="00917DBD">
            <w:pPr>
              <w:spacing w:after="12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17DBD" w:rsidRPr="00966EF6" w14:paraId="42317925" w14:textId="77777777" w:rsidTr="00B2726D">
        <w:tc>
          <w:tcPr>
            <w:tcW w:w="5964" w:type="dxa"/>
          </w:tcPr>
          <w:p w14:paraId="79F7C5A6" w14:textId="10798ECB" w:rsidR="00917DBD" w:rsidRPr="00966EF6" w:rsidRDefault="00917DBD" w:rsidP="00917DB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966EF6">
              <w:rPr>
                <w:rFonts w:ascii="Times New Roman" w:hAnsi="Times New Roman"/>
                <w:lang w:val="en-US"/>
              </w:rPr>
              <w:t>Liquid fraction yield (180 ° C +): min. 95% w/w</w:t>
            </w:r>
          </w:p>
        </w:tc>
        <w:tc>
          <w:tcPr>
            <w:tcW w:w="2738" w:type="dxa"/>
          </w:tcPr>
          <w:p w14:paraId="31667208" w14:textId="77777777" w:rsidR="00917DBD" w:rsidRPr="00966EF6" w:rsidRDefault="00917DBD" w:rsidP="00917DBD">
            <w:pPr>
              <w:spacing w:after="120" w:line="240" w:lineRule="auto"/>
              <w:rPr>
                <w:rFonts w:ascii="Times New Roman" w:hAnsi="Times New Roman"/>
                <w:b/>
                <w:bCs/>
                <w:color w:val="BFBFBF"/>
                <w:sz w:val="24"/>
                <w:szCs w:val="24"/>
                <w:lang w:val="en-US"/>
              </w:rPr>
            </w:pPr>
          </w:p>
        </w:tc>
      </w:tr>
    </w:tbl>
    <w:p w14:paraId="67F9D302" w14:textId="77777777" w:rsidR="00966EF6" w:rsidRPr="00966EF6" w:rsidRDefault="00966EF6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  <w:lang w:val="en-US"/>
        </w:rPr>
      </w:pPr>
    </w:p>
    <w:p w14:paraId="63D1869F" w14:textId="1B9740A4" w:rsidR="00D7055D" w:rsidRPr="00966EF6" w:rsidRDefault="00D7055D" w:rsidP="008B5DA6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66EF6">
        <w:rPr>
          <w:rFonts w:ascii="Times New Roman" w:hAnsi="Times New Roman"/>
          <w:b/>
          <w:bCs/>
          <w:sz w:val="24"/>
          <w:szCs w:val="24"/>
          <w:lang w:val="en-US"/>
        </w:rPr>
        <w:t>The following items are included in the delivery:</w:t>
      </w:r>
    </w:p>
    <w:p w14:paraId="78265AB3" w14:textId="77777777" w:rsidR="00D7055D" w:rsidRPr="00966EF6" w:rsidRDefault="00D7055D" w:rsidP="00D7055D">
      <w:pPr>
        <w:pStyle w:val="Odstavecseseznamem"/>
        <w:rPr>
          <w:rFonts w:ascii="Times New Roman" w:hAnsi="Times New Roman"/>
          <w:lang w:val="en-US"/>
        </w:rPr>
      </w:pPr>
    </w:p>
    <w:p w14:paraId="2C2C3440" w14:textId="27799BF2" w:rsidR="00D7055D" w:rsidRPr="00966EF6" w:rsidRDefault="00A22282" w:rsidP="008B5DA6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c</w:t>
      </w:r>
      <w:r w:rsidR="00D7055D" w:rsidRPr="00966EF6">
        <w:rPr>
          <w:rFonts w:ascii="Times New Roman" w:hAnsi="Times New Roman"/>
          <w:lang w:val="en-US"/>
        </w:rPr>
        <w:t>atalyst development: Selection and preparation of the catalyst, subsequent shaping, application of the active ingredient and calcination.</w:t>
      </w:r>
      <w:r w:rsidR="00595B21" w:rsidRPr="00966EF6">
        <w:rPr>
          <w:rFonts w:ascii="Times New Roman" w:hAnsi="Times New Roman"/>
          <w:lang w:val="en-US"/>
        </w:rPr>
        <w:t xml:space="preserve"> </w:t>
      </w:r>
      <w:r w:rsidR="00D7055D" w:rsidRPr="00966EF6">
        <w:rPr>
          <w:rFonts w:ascii="Times New Roman" w:hAnsi="Times New Roman"/>
          <w:lang w:val="en-US"/>
        </w:rPr>
        <w:t xml:space="preserve">Within this </w:t>
      </w:r>
      <w:r w:rsidR="009C117F">
        <w:rPr>
          <w:rFonts w:ascii="Times New Roman" w:hAnsi="Times New Roman"/>
          <w:lang w:val="en-US"/>
        </w:rPr>
        <w:t>public contract</w:t>
      </w:r>
      <w:r w:rsidR="00D7055D" w:rsidRPr="00966EF6">
        <w:rPr>
          <w:rFonts w:ascii="Times New Roman" w:hAnsi="Times New Roman"/>
          <w:lang w:val="en-US"/>
        </w:rPr>
        <w:t xml:space="preserve">, UniCRE requires engagement in </w:t>
      </w:r>
      <w:r w:rsidR="00C23DA2">
        <w:rPr>
          <w:rFonts w:ascii="Times New Roman" w:hAnsi="Times New Roman"/>
          <w:lang w:val="en-US"/>
        </w:rPr>
        <w:t xml:space="preserve">the </w:t>
      </w:r>
      <w:r w:rsidR="00D7055D" w:rsidRPr="00966EF6">
        <w:rPr>
          <w:rFonts w:ascii="Times New Roman" w:hAnsi="Times New Roman"/>
          <w:lang w:val="en-US"/>
        </w:rPr>
        <w:t xml:space="preserve">catalyst development following the above-mentioned development </w:t>
      </w:r>
      <w:r w:rsidR="001904D5" w:rsidRPr="00966EF6">
        <w:rPr>
          <w:rFonts w:ascii="Times New Roman" w:hAnsi="Times New Roman"/>
          <w:lang w:val="en-US"/>
        </w:rPr>
        <w:t>steps</w:t>
      </w:r>
      <w:r w:rsidR="009C117F">
        <w:rPr>
          <w:rFonts w:ascii="Times New Roman" w:hAnsi="Times New Roman"/>
          <w:lang w:val="en-US"/>
        </w:rPr>
        <w:t>, n</w:t>
      </w:r>
      <w:r w:rsidR="001904D5" w:rsidRPr="00966EF6">
        <w:rPr>
          <w:rFonts w:ascii="Times New Roman" w:hAnsi="Times New Roman"/>
          <w:lang w:val="en-US"/>
        </w:rPr>
        <w:t>amely:</w:t>
      </w:r>
      <w:r w:rsidR="00D7055D" w:rsidRPr="00966EF6">
        <w:rPr>
          <w:rFonts w:ascii="Times New Roman" w:hAnsi="Times New Roman"/>
          <w:lang w:val="en-US"/>
        </w:rPr>
        <w:t xml:space="preserve"> </w:t>
      </w:r>
      <w:r w:rsidR="009C117F">
        <w:rPr>
          <w:rFonts w:ascii="Times New Roman" w:hAnsi="Times New Roman"/>
          <w:lang w:val="en-US"/>
        </w:rPr>
        <w:t xml:space="preserve">to execute the </w:t>
      </w:r>
      <w:r w:rsidR="00D7055D" w:rsidRPr="00966EF6">
        <w:rPr>
          <w:rFonts w:ascii="Times New Roman" w:hAnsi="Times New Roman"/>
          <w:lang w:val="en-US"/>
        </w:rPr>
        <w:t>activation, screening and validation of</w:t>
      </w:r>
      <w:r w:rsidR="001904D5" w:rsidRPr="00966EF6">
        <w:rPr>
          <w:rFonts w:ascii="Times New Roman" w:hAnsi="Times New Roman"/>
          <w:lang w:val="en-US"/>
        </w:rPr>
        <w:t xml:space="preserve"> the functionality of up to six</w:t>
      </w:r>
      <w:r w:rsidR="00D7055D" w:rsidRPr="00966EF6">
        <w:rPr>
          <w:rFonts w:ascii="Times New Roman" w:hAnsi="Times New Roman"/>
          <w:lang w:val="en-US"/>
        </w:rPr>
        <w:t xml:space="preserve"> functional samples of </w:t>
      </w:r>
      <w:r w:rsidR="009C117F">
        <w:rPr>
          <w:rFonts w:ascii="Times New Roman" w:hAnsi="Times New Roman"/>
          <w:lang w:val="en-US"/>
        </w:rPr>
        <w:t xml:space="preserve">the </w:t>
      </w:r>
      <w:r w:rsidR="00D7055D" w:rsidRPr="00966EF6">
        <w:rPr>
          <w:rFonts w:ascii="Times New Roman" w:hAnsi="Times New Roman"/>
          <w:lang w:val="en-US"/>
        </w:rPr>
        <w:t>catalysts (</w:t>
      </w:r>
      <w:r w:rsidR="001904D5" w:rsidRPr="00966EF6">
        <w:rPr>
          <w:rFonts w:ascii="Times New Roman" w:hAnsi="Times New Roman"/>
          <w:lang w:val="en-US"/>
        </w:rPr>
        <w:t xml:space="preserve">á 200 ml) made </w:t>
      </w:r>
      <w:r w:rsidR="009C117F">
        <w:rPr>
          <w:rFonts w:ascii="Times New Roman" w:hAnsi="Times New Roman"/>
          <w:lang w:val="en-US"/>
        </w:rPr>
        <w:t>within the execution</w:t>
      </w:r>
      <w:r w:rsidR="001904D5" w:rsidRPr="00966EF6">
        <w:rPr>
          <w:rFonts w:ascii="Times New Roman" w:hAnsi="Times New Roman"/>
          <w:lang w:val="en-US"/>
        </w:rPr>
        <w:t xml:space="preserve"> of this </w:t>
      </w:r>
      <w:r w:rsidR="009C117F">
        <w:rPr>
          <w:rFonts w:ascii="Times New Roman" w:hAnsi="Times New Roman"/>
          <w:lang w:val="en-US"/>
        </w:rPr>
        <w:t>public contract.</w:t>
      </w:r>
    </w:p>
    <w:p w14:paraId="36DD52FE" w14:textId="77777777" w:rsidR="00D7055D" w:rsidRPr="00966EF6" w:rsidRDefault="00D7055D" w:rsidP="008B5DA6">
      <w:pPr>
        <w:pStyle w:val="Odstavecseseznamem"/>
        <w:ind w:left="851" w:hanging="425"/>
        <w:jc w:val="both"/>
        <w:rPr>
          <w:rFonts w:ascii="Times New Roman" w:hAnsi="Times New Roman"/>
          <w:lang w:val="en-US"/>
        </w:rPr>
      </w:pPr>
    </w:p>
    <w:p w14:paraId="63C5A8A6" w14:textId="2EF91751" w:rsidR="00D7055D" w:rsidRPr="00966EF6" w:rsidRDefault="00D7055D" w:rsidP="008B5DA6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lang w:val="en-US"/>
        </w:rPr>
      </w:pPr>
      <w:r w:rsidRPr="00966EF6">
        <w:rPr>
          <w:rFonts w:ascii="Times New Roman" w:hAnsi="Times New Roman"/>
          <w:lang w:val="en-US"/>
        </w:rPr>
        <w:t>Delivery: 2L of sel</w:t>
      </w:r>
      <w:r w:rsidR="001904D5" w:rsidRPr="00966EF6">
        <w:rPr>
          <w:rFonts w:ascii="Times New Roman" w:hAnsi="Times New Roman"/>
          <w:lang w:val="en-US"/>
        </w:rPr>
        <w:t xml:space="preserve">ected catalyst </w:t>
      </w:r>
      <w:r w:rsidR="00A22282">
        <w:rPr>
          <w:rFonts w:ascii="Times New Roman" w:hAnsi="Times New Roman"/>
          <w:lang w:val="en-US"/>
        </w:rPr>
        <w:t>fulfilling</w:t>
      </w:r>
      <w:r w:rsidR="00A22282" w:rsidRPr="00966EF6">
        <w:rPr>
          <w:rFonts w:ascii="Times New Roman" w:hAnsi="Times New Roman"/>
          <w:lang w:val="en-US"/>
        </w:rPr>
        <w:t xml:space="preserve"> </w:t>
      </w:r>
      <w:r w:rsidR="00595B21" w:rsidRPr="00966EF6">
        <w:rPr>
          <w:rFonts w:ascii="Times New Roman" w:hAnsi="Times New Roman"/>
          <w:lang w:val="en-US"/>
        </w:rPr>
        <w:t>the technical specification</w:t>
      </w:r>
      <w:r w:rsidR="00A22282">
        <w:rPr>
          <w:rFonts w:ascii="Times New Roman" w:hAnsi="Times New Roman"/>
          <w:lang w:val="en-US"/>
        </w:rPr>
        <w:t>.</w:t>
      </w:r>
    </w:p>
    <w:p w14:paraId="30E3C1FF" w14:textId="77777777" w:rsidR="00D7055D" w:rsidRPr="00966EF6" w:rsidRDefault="00D7055D" w:rsidP="008B5DA6">
      <w:pPr>
        <w:pStyle w:val="Odstavecseseznamem"/>
        <w:ind w:left="851" w:hanging="425"/>
        <w:jc w:val="both"/>
        <w:rPr>
          <w:rFonts w:ascii="Times New Roman" w:hAnsi="Times New Roman"/>
          <w:lang w:val="en-US"/>
        </w:rPr>
      </w:pPr>
    </w:p>
    <w:p w14:paraId="2C961760" w14:textId="39BC87DB" w:rsidR="00D7055D" w:rsidRPr="00966EF6" w:rsidRDefault="00D7055D" w:rsidP="008B5DA6">
      <w:pPr>
        <w:pStyle w:val="Odstavecseseznamem"/>
        <w:numPr>
          <w:ilvl w:val="0"/>
          <w:numId w:val="8"/>
        </w:numPr>
        <w:ind w:left="851" w:hanging="425"/>
        <w:jc w:val="both"/>
        <w:rPr>
          <w:rFonts w:ascii="Times New Roman" w:hAnsi="Times New Roman"/>
          <w:lang w:val="en-US"/>
        </w:rPr>
      </w:pPr>
      <w:r w:rsidRPr="00966EF6">
        <w:rPr>
          <w:rFonts w:ascii="Times New Roman" w:hAnsi="Times New Roman"/>
          <w:lang w:val="en-US"/>
        </w:rPr>
        <w:t>production documentation (research report) including instructions in Czech or English</w:t>
      </w:r>
      <w:r w:rsidR="00FF01C2">
        <w:rPr>
          <w:rFonts w:ascii="Times New Roman" w:hAnsi="Times New Roman"/>
          <w:lang w:val="en-US"/>
        </w:rPr>
        <w:t xml:space="preserve"> language</w:t>
      </w:r>
    </w:p>
    <w:p w14:paraId="150B7925" w14:textId="77777777" w:rsidR="00D7055D" w:rsidRPr="00966EF6" w:rsidRDefault="00D7055D" w:rsidP="008B5DA6">
      <w:pPr>
        <w:pStyle w:val="Odstavecseseznamem"/>
        <w:ind w:left="851" w:hanging="425"/>
        <w:jc w:val="both"/>
        <w:rPr>
          <w:rFonts w:ascii="Times New Roman" w:hAnsi="Times New Roman"/>
          <w:lang w:val="en-US"/>
        </w:rPr>
      </w:pPr>
    </w:p>
    <w:p w14:paraId="0462E459" w14:textId="4A7EEEC1" w:rsidR="00D7055D" w:rsidRPr="00966EF6" w:rsidRDefault="00D7055D" w:rsidP="008B5DA6">
      <w:pPr>
        <w:jc w:val="both"/>
        <w:rPr>
          <w:rFonts w:ascii="Times New Roman" w:hAnsi="Times New Roman"/>
          <w:highlight w:val="yellow"/>
          <w:lang w:val="en-US"/>
        </w:rPr>
      </w:pPr>
      <w:r w:rsidRPr="00966EF6">
        <w:rPr>
          <w:rFonts w:ascii="Times New Roman" w:hAnsi="Times New Roman"/>
          <w:lang w:val="en-US"/>
        </w:rPr>
        <w:t xml:space="preserve">The research </w:t>
      </w:r>
      <w:r w:rsidR="001904D5" w:rsidRPr="00966EF6">
        <w:rPr>
          <w:rFonts w:ascii="Times New Roman" w:hAnsi="Times New Roman"/>
          <w:lang w:val="en-US"/>
        </w:rPr>
        <w:t>report shall include at least:</w:t>
      </w:r>
      <w:r w:rsidRPr="00966EF6">
        <w:rPr>
          <w:rFonts w:ascii="Times New Roman" w:hAnsi="Times New Roman"/>
          <w:lang w:val="en-US"/>
        </w:rPr>
        <w:t xml:space="preserve"> a descriptio</w:t>
      </w:r>
      <w:r w:rsidR="001904D5" w:rsidRPr="00966EF6">
        <w:rPr>
          <w:rFonts w:ascii="Times New Roman" w:hAnsi="Times New Roman"/>
          <w:lang w:val="en-US"/>
        </w:rPr>
        <w:t xml:space="preserve">n of the catalyst production, </w:t>
      </w:r>
      <w:r w:rsidRPr="00966EF6">
        <w:rPr>
          <w:rFonts w:ascii="Times New Roman" w:hAnsi="Times New Roman"/>
          <w:lang w:val="en-US"/>
        </w:rPr>
        <w:t>a specification of the operating conditions, a procedure for achieving the desired yi</w:t>
      </w:r>
      <w:r w:rsidR="001904D5" w:rsidRPr="00966EF6">
        <w:rPr>
          <w:rFonts w:ascii="Times New Roman" w:hAnsi="Times New Roman"/>
          <w:lang w:val="en-US"/>
        </w:rPr>
        <w:t>eld of qualitative parameters,</w:t>
      </w:r>
      <w:r w:rsidRPr="00966EF6">
        <w:rPr>
          <w:rFonts w:ascii="Times New Roman" w:hAnsi="Times New Roman"/>
          <w:lang w:val="en-US"/>
        </w:rPr>
        <w:t xml:space="preserve"> a specification of the catalyst preparation procedure for its reuse, once it has been used once or more (the catalyst will need to be deactivated and decontaminate</w:t>
      </w:r>
      <w:r w:rsidR="001904D5" w:rsidRPr="00966EF6">
        <w:rPr>
          <w:rFonts w:ascii="Times New Roman" w:hAnsi="Times New Roman"/>
          <w:lang w:val="en-US"/>
        </w:rPr>
        <w:t>d</w:t>
      </w:r>
      <w:r w:rsidRPr="00966EF6">
        <w:rPr>
          <w:rFonts w:ascii="Times New Roman" w:hAnsi="Times New Roman"/>
          <w:lang w:val="en-US"/>
        </w:rPr>
        <w:t xml:space="preserve"> </w:t>
      </w:r>
      <w:r w:rsidR="00D1191F">
        <w:rPr>
          <w:rFonts w:ascii="Times New Roman" w:hAnsi="Times New Roman"/>
          <w:lang w:val="en-US"/>
        </w:rPr>
        <w:t>of</w:t>
      </w:r>
      <w:r w:rsidR="00D1191F" w:rsidRPr="00966EF6">
        <w:rPr>
          <w:rFonts w:ascii="Times New Roman" w:hAnsi="Times New Roman"/>
          <w:lang w:val="en-US"/>
        </w:rPr>
        <w:t xml:space="preserve"> </w:t>
      </w:r>
      <w:r w:rsidRPr="00966EF6">
        <w:rPr>
          <w:rFonts w:ascii="Times New Roman" w:hAnsi="Times New Roman"/>
          <w:lang w:val="en-US"/>
        </w:rPr>
        <w:t>th</w:t>
      </w:r>
      <w:r w:rsidR="001904D5" w:rsidRPr="00966EF6">
        <w:rPr>
          <w:rFonts w:ascii="Times New Roman" w:hAnsi="Times New Roman"/>
          <w:lang w:val="en-US"/>
        </w:rPr>
        <w:t xml:space="preserve">e admixtures </w:t>
      </w:r>
      <w:r w:rsidR="00D1191F">
        <w:rPr>
          <w:rFonts w:ascii="Times New Roman" w:hAnsi="Times New Roman"/>
          <w:lang w:val="en-US"/>
        </w:rPr>
        <w:t>which clogged the catalyst during the</w:t>
      </w:r>
      <w:r w:rsidR="001904D5" w:rsidRPr="00966EF6">
        <w:rPr>
          <w:rFonts w:ascii="Times New Roman" w:hAnsi="Times New Roman"/>
          <w:lang w:val="en-US"/>
        </w:rPr>
        <w:t xml:space="preserve"> </w:t>
      </w:r>
      <w:r w:rsidRPr="00966EF6">
        <w:rPr>
          <w:rFonts w:ascii="Times New Roman" w:hAnsi="Times New Roman"/>
          <w:lang w:val="en-US"/>
        </w:rPr>
        <w:t>original</w:t>
      </w:r>
      <w:r w:rsidR="001904D5" w:rsidRPr="00966EF6">
        <w:rPr>
          <w:rFonts w:ascii="Times New Roman" w:hAnsi="Times New Roman"/>
          <w:lang w:val="en-US"/>
        </w:rPr>
        <w:t xml:space="preserve"> catalytic</w:t>
      </w:r>
      <w:r w:rsidRPr="00966EF6">
        <w:rPr>
          <w:rFonts w:ascii="Times New Roman" w:hAnsi="Times New Roman"/>
          <w:lang w:val="en-US"/>
        </w:rPr>
        <w:t xml:space="preserve"> reaction</w:t>
      </w:r>
      <w:r w:rsidR="001904D5" w:rsidRPr="00966EF6">
        <w:rPr>
          <w:rFonts w:ascii="Times New Roman" w:hAnsi="Times New Roman"/>
          <w:lang w:val="en-US"/>
        </w:rPr>
        <w:t>.</w:t>
      </w:r>
    </w:p>
    <w:p w14:paraId="38FD1457" w14:textId="77777777" w:rsidR="00E62F41" w:rsidRPr="00966EF6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  <w:highlight w:val="yellow"/>
          <w:lang w:val="en-US"/>
        </w:rPr>
      </w:pPr>
    </w:p>
    <w:p w14:paraId="213E3F0D" w14:textId="77777777" w:rsidR="002E3D81" w:rsidRPr="00966EF6" w:rsidRDefault="002E3D81" w:rsidP="002E3D81">
      <w:pPr>
        <w:spacing w:after="120" w:line="240" w:lineRule="auto"/>
        <w:jc w:val="both"/>
        <w:rPr>
          <w:rFonts w:ascii="Times New Roman" w:hAnsi="Times New Roman"/>
          <w:lang w:val="en-US"/>
        </w:rPr>
      </w:pPr>
    </w:p>
    <w:p w14:paraId="1006AE18" w14:textId="029A2E65" w:rsidR="002E3D81" w:rsidRPr="00966EF6" w:rsidRDefault="002E3D81" w:rsidP="008B5DA6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66EF6">
        <w:rPr>
          <w:rFonts w:ascii="Times New Roman" w:hAnsi="Times New Roman"/>
          <w:b/>
          <w:bCs/>
          <w:sz w:val="24"/>
          <w:szCs w:val="24"/>
          <w:lang w:val="en-US"/>
        </w:rPr>
        <w:t xml:space="preserve">Obligations of the </w:t>
      </w:r>
      <w:r w:rsidR="00F16F0A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F16F0A" w:rsidRPr="00966EF6">
        <w:rPr>
          <w:rFonts w:ascii="Times New Roman" w:hAnsi="Times New Roman"/>
          <w:b/>
          <w:bCs/>
          <w:sz w:val="24"/>
          <w:szCs w:val="24"/>
          <w:lang w:val="en-US"/>
        </w:rPr>
        <w:t xml:space="preserve">upplier </w:t>
      </w:r>
      <w:r w:rsidRPr="00966EF6">
        <w:rPr>
          <w:rFonts w:ascii="Times New Roman" w:hAnsi="Times New Roman"/>
          <w:b/>
          <w:bCs/>
          <w:sz w:val="24"/>
          <w:szCs w:val="24"/>
          <w:lang w:val="en-US"/>
        </w:rPr>
        <w:t>before and after the implementation of the service and other supplied components:</w:t>
      </w:r>
    </w:p>
    <w:p w14:paraId="6B5187BD" w14:textId="09BE435E" w:rsidR="002E3D81" w:rsidRPr="00966EF6" w:rsidRDefault="002E3D81" w:rsidP="002E3D81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lang w:val="en-US"/>
        </w:rPr>
      </w:pPr>
      <w:r w:rsidRPr="00966EF6">
        <w:rPr>
          <w:rFonts w:ascii="Times New Roman" w:hAnsi="Times New Roman"/>
          <w:lang w:val="en-US"/>
        </w:rPr>
        <w:t>Delivery of instructions for activation, and / or "running" of the catalyst</w:t>
      </w:r>
    </w:p>
    <w:p w14:paraId="2F83A62F" w14:textId="77777777" w:rsidR="002E3D81" w:rsidRPr="00966EF6" w:rsidRDefault="002E3D81" w:rsidP="002E3D81">
      <w:pPr>
        <w:spacing w:after="120" w:line="240" w:lineRule="auto"/>
        <w:ind w:left="420"/>
        <w:jc w:val="both"/>
        <w:rPr>
          <w:rFonts w:ascii="Times New Roman" w:hAnsi="Times New Roman"/>
          <w:lang w:val="en-US"/>
        </w:rPr>
      </w:pPr>
    </w:p>
    <w:p w14:paraId="31D14044" w14:textId="4673E53F" w:rsidR="002E3D81" w:rsidRPr="00966EF6" w:rsidRDefault="002E3D81" w:rsidP="002E3D81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lang w:val="en-US"/>
        </w:rPr>
      </w:pPr>
      <w:r w:rsidRPr="00966EF6">
        <w:rPr>
          <w:rFonts w:ascii="Times New Roman" w:hAnsi="Times New Roman"/>
          <w:lang w:val="en-US"/>
        </w:rPr>
        <w:t xml:space="preserve">Presence of a qualified representative of the </w:t>
      </w:r>
      <w:r w:rsidR="00F16F0A">
        <w:rPr>
          <w:rFonts w:ascii="Times New Roman" w:hAnsi="Times New Roman"/>
          <w:lang w:val="en-US"/>
        </w:rPr>
        <w:t>supplier</w:t>
      </w:r>
      <w:r w:rsidR="00F16F0A" w:rsidRPr="00966EF6">
        <w:rPr>
          <w:rFonts w:ascii="Times New Roman" w:hAnsi="Times New Roman"/>
          <w:lang w:val="en-US"/>
        </w:rPr>
        <w:t xml:space="preserve"> </w:t>
      </w:r>
      <w:r w:rsidR="00F16F0A">
        <w:rPr>
          <w:rFonts w:ascii="Times New Roman" w:hAnsi="Times New Roman"/>
          <w:lang w:val="en-US"/>
        </w:rPr>
        <w:t>on the place of fulfilment during the commencement of the</w:t>
      </w:r>
      <w:r w:rsidRPr="00966EF6">
        <w:rPr>
          <w:rFonts w:ascii="Times New Roman" w:hAnsi="Times New Roman"/>
          <w:lang w:val="en-US"/>
        </w:rPr>
        <w:t xml:space="preserve"> testing (payments related to the import of the item, duties, taxes, import and export surcharges and any other fees associated with the delivery of the item)</w:t>
      </w:r>
    </w:p>
    <w:p w14:paraId="664E1E3F" w14:textId="77777777" w:rsidR="002E3D81" w:rsidRPr="00966EF6" w:rsidRDefault="002E3D81" w:rsidP="002E3D81">
      <w:pPr>
        <w:spacing w:after="120" w:line="240" w:lineRule="auto"/>
        <w:jc w:val="both"/>
        <w:rPr>
          <w:rFonts w:ascii="Times New Roman" w:hAnsi="Times New Roman"/>
          <w:lang w:val="en-US"/>
        </w:rPr>
      </w:pPr>
    </w:p>
    <w:p w14:paraId="6C05A18C" w14:textId="67D0D05D" w:rsidR="002E3D81" w:rsidRPr="00966EF6" w:rsidRDefault="002E3D81" w:rsidP="002E3D81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lang w:val="en-US"/>
        </w:rPr>
      </w:pPr>
      <w:r w:rsidRPr="00966EF6">
        <w:rPr>
          <w:rFonts w:ascii="Times New Roman" w:hAnsi="Times New Roman"/>
          <w:lang w:val="en-US"/>
        </w:rPr>
        <w:t>Delivery of technical documentation, declaration of conformity, delivery of the subsequent evaluation report</w:t>
      </w:r>
    </w:p>
    <w:sectPr w:rsidR="002E3D81" w:rsidRPr="00966E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506FB6" w16cid:durableId="1F412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DD8AA" w14:textId="77777777" w:rsidR="00CF0C61" w:rsidRDefault="00CF0C61" w:rsidP="00361321">
      <w:pPr>
        <w:spacing w:after="0" w:line="240" w:lineRule="auto"/>
      </w:pPr>
      <w:r>
        <w:separator/>
      </w:r>
    </w:p>
  </w:endnote>
  <w:endnote w:type="continuationSeparator" w:id="0">
    <w:p w14:paraId="3D36C8CD" w14:textId="77777777" w:rsidR="00CF0C61" w:rsidRDefault="00CF0C61" w:rsidP="0036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6A072" w14:textId="77777777" w:rsidR="00CF0C61" w:rsidRDefault="00CF0C61" w:rsidP="00361321">
      <w:pPr>
        <w:spacing w:after="0" w:line="240" w:lineRule="auto"/>
      </w:pPr>
      <w:r>
        <w:separator/>
      </w:r>
    </w:p>
  </w:footnote>
  <w:footnote w:type="continuationSeparator" w:id="0">
    <w:p w14:paraId="41FCE41D" w14:textId="77777777" w:rsidR="00CF0C61" w:rsidRDefault="00CF0C61" w:rsidP="0036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938"/>
      <w:gridCol w:w="1124"/>
    </w:tblGrid>
    <w:tr w:rsidR="00361321" w14:paraId="582A9057" w14:textId="77777777" w:rsidTr="00FC3BB0">
      <w:tc>
        <w:tcPr>
          <w:tcW w:w="7938" w:type="dxa"/>
          <w:shd w:val="clear" w:color="auto" w:fill="auto"/>
        </w:tcPr>
        <w:p w14:paraId="7EEF2B8D" w14:textId="4CB5B1AB" w:rsidR="00361321" w:rsidRPr="00570ABA" w:rsidRDefault="00361321" w:rsidP="00361321">
          <w:pPr>
            <w:autoSpaceDE w:val="0"/>
            <w:autoSpaceDN w:val="0"/>
            <w:adjustRightInd w:val="0"/>
            <w:ind w:left="-105" w:firstLine="7"/>
            <w:jc w:val="both"/>
          </w:pPr>
          <w:r w:rsidRPr="00570ABA">
            <w:rPr>
              <w:rFonts w:cs="Calibri"/>
              <w:iCs/>
              <w:lang w:val="en-US"/>
            </w:rPr>
            <w:t>This project has received funding from the European Union’s Horizon 2020 research and innovation programme under grant agreement No 727476</w:t>
          </w:r>
        </w:p>
      </w:tc>
      <w:tc>
        <w:tcPr>
          <w:tcW w:w="1124" w:type="dxa"/>
          <w:shd w:val="clear" w:color="auto" w:fill="auto"/>
        </w:tcPr>
        <w:p w14:paraId="3866BB41" w14:textId="197BCE2B" w:rsidR="00361321" w:rsidRPr="00570ABA" w:rsidRDefault="00361321" w:rsidP="00361321">
          <w:pPr>
            <w:autoSpaceDE w:val="0"/>
            <w:autoSpaceDN w:val="0"/>
            <w:adjustRightInd w:val="0"/>
            <w:jc w:val="both"/>
          </w:pPr>
          <w:r w:rsidRPr="008E3584">
            <w:rPr>
              <w:noProof/>
              <w:lang w:eastAsia="cs-CZ"/>
            </w:rPr>
            <w:drawing>
              <wp:inline distT="0" distB="0" distL="0" distR="0" wp14:anchorId="08FAEDF7" wp14:editId="515087EF">
                <wp:extent cx="636270" cy="42418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893C5" w14:textId="77777777" w:rsidR="00361321" w:rsidRDefault="003613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3E57"/>
    <w:multiLevelType w:val="hybridMultilevel"/>
    <w:tmpl w:val="8A60193A"/>
    <w:lvl w:ilvl="0" w:tplc="242AC9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45B"/>
    <w:multiLevelType w:val="hybridMultilevel"/>
    <w:tmpl w:val="1D0E26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5018"/>
    <w:multiLevelType w:val="hybridMultilevel"/>
    <w:tmpl w:val="F0D253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F8B"/>
    <w:multiLevelType w:val="hybridMultilevel"/>
    <w:tmpl w:val="F4C25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489E"/>
    <w:multiLevelType w:val="hybridMultilevel"/>
    <w:tmpl w:val="FE24382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D5387"/>
    <w:multiLevelType w:val="hybridMultilevel"/>
    <w:tmpl w:val="CA12B63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A5382B"/>
    <w:multiLevelType w:val="hybridMultilevel"/>
    <w:tmpl w:val="F0BCEA46"/>
    <w:lvl w:ilvl="0" w:tplc="8362B54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85D63"/>
    <w:rsid w:val="000A2D54"/>
    <w:rsid w:val="000C1D2F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41BFA"/>
    <w:rsid w:val="00150A80"/>
    <w:rsid w:val="00152948"/>
    <w:rsid w:val="00152FB3"/>
    <w:rsid w:val="001827AF"/>
    <w:rsid w:val="001904D5"/>
    <w:rsid w:val="001A23C9"/>
    <w:rsid w:val="001B4E85"/>
    <w:rsid w:val="001C7B7E"/>
    <w:rsid w:val="001D003A"/>
    <w:rsid w:val="001E03B2"/>
    <w:rsid w:val="001E1AAE"/>
    <w:rsid w:val="001F0302"/>
    <w:rsid w:val="002001D7"/>
    <w:rsid w:val="00202335"/>
    <w:rsid w:val="00203E0A"/>
    <w:rsid w:val="0020465C"/>
    <w:rsid w:val="002070CD"/>
    <w:rsid w:val="00220FCE"/>
    <w:rsid w:val="00225FD2"/>
    <w:rsid w:val="002269FE"/>
    <w:rsid w:val="00227131"/>
    <w:rsid w:val="00230ABD"/>
    <w:rsid w:val="002356D0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C38E2"/>
    <w:rsid w:val="002D58A6"/>
    <w:rsid w:val="002D7D6B"/>
    <w:rsid w:val="002E18AE"/>
    <w:rsid w:val="002E3D81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1321"/>
    <w:rsid w:val="0036636F"/>
    <w:rsid w:val="00370905"/>
    <w:rsid w:val="003822C6"/>
    <w:rsid w:val="003863E1"/>
    <w:rsid w:val="00386824"/>
    <w:rsid w:val="003905E8"/>
    <w:rsid w:val="00390684"/>
    <w:rsid w:val="003921B6"/>
    <w:rsid w:val="003A6F46"/>
    <w:rsid w:val="003B2DE1"/>
    <w:rsid w:val="003C2F42"/>
    <w:rsid w:val="003D5AAD"/>
    <w:rsid w:val="003D65D8"/>
    <w:rsid w:val="003D6704"/>
    <w:rsid w:val="003D705B"/>
    <w:rsid w:val="003E54D8"/>
    <w:rsid w:val="003F4E36"/>
    <w:rsid w:val="00405264"/>
    <w:rsid w:val="00412E24"/>
    <w:rsid w:val="00470500"/>
    <w:rsid w:val="00475E9B"/>
    <w:rsid w:val="00480044"/>
    <w:rsid w:val="004821F7"/>
    <w:rsid w:val="00490812"/>
    <w:rsid w:val="00491415"/>
    <w:rsid w:val="004A1477"/>
    <w:rsid w:val="004A7096"/>
    <w:rsid w:val="004B4058"/>
    <w:rsid w:val="004B6901"/>
    <w:rsid w:val="004B6ABD"/>
    <w:rsid w:val="004C5162"/>
    <w:rsid w:val="004C6914"/>
    <w:rsid w:val="004C7080"/>
    <w:rsid w:val="004E6348"/>
    <w:rsid w:val="004E7894"/>
    <w:rsid w:val="005017D8"/>
    <w:rsid w:val="0050284A"/>
    <w:rsid w:val="005052D5"/>
    <w:rsid w:val="00515F0F"/>
    <w:rsid w:val="0051784F"/>
    <w:rsid w:val="00517CEF"/>
    <w:rsid w:val="0052090A"/>
    <w:rsid w:val="00522768"/>
    <w:rsid w:val="005462CE"/>
    <w:rsid w:val="0054757F"/>
    <w:rsid w:val="00547C44"/>
    <w:rsid w:val="005719D2"/>
    <w:rsid w:val="00573843"/>
    <w:rsid w:val="00595437"/>
    <w:rsid w:val="00595B21"/>
    <w:rsid w:val="005A3BF4"/>
    <w:rsid w:val="005A3F55"/>
    <w:rsid w:val="005A57CF"/>
    <w:rsid w:val="005B4375"/>
    <w:rsid w:val="005C398E"/>
    <w:rsid w:val="005C6123"/>
    <w:rsid w:val="005D42CA"/>
    <w:rsid w:val="005E69B6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90700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36DAD"/>
    <w:rsid w:val="00740DC6"/>
    <w:rsid w:val="00741018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E3561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87F2D"/>
    <w:rsid w:val="008922E4"/>
    <w:rsid w:val="00893196"/>
    <w:rsid w:val="008A450C"/>
    <w:rsid w:val="008A7050"/>
    <w:rsid w:val="008B5DA6"/>
    <w:rsid w:val="008C7CBC"/>
    <w:rsid w:val="008E2B2A"/>
    <w:rsid w:val="008E32F2"/>
    <w:rsid w:val="008E7025"/>
    <w:rsid w:val="008F16F1"/>
    <w:rsid w:val="00902866"/>
    <w:rsid w:val="00914CDA"/>
    <w:rsid w:val="00917DBD"/>
    <w:rsid w:val="0092708C"/>
    <w:rsid w:val="00931930"/>
    <w:rsid w:val="00933BD1"/>
    <w:rsid w:val="00942AE8"/>
    <w:rsid w:val="00946C8B"/>
    <w:rsid w:val="00966EF6"/>
    <w:rsid w:val="0097571C"/>
    <w:rsid w:val="009911FA"/>
    <w:rsid w:val="00992E7B"/>
    <w:rsid w:val="00993678"/>
    <w:rsid w:val="00994FE9"/>
    <w:rsid w:val="009953BC"/>
    <w:rsid w:val="0099546A"/>
    <w:rsid w:val="009B1D76"/>
    <w:rsid w:val="009B507E"/>
    <w:rsid w:val="009C117F"/>
    <w:rsid w:val="009C26D7"/>
    <w:rsid w:val="009C3442"/>
    <w:rsid w:val="009C4242"/>
    <w:rsid w:val="009C5BCC"/>
    <w:rsid w:val="009D031C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2282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4FFA"/>
    <w:rsid w:val="00A863A3"/>
    <w:rsid w:val="00A97773"/>
    <w:rsid w:val="00AA5270"/>
    <w:rsid w:val="00AA79D3"/>
    <w:rsid w:val="00AC4D88"/>
    <w:rsid w:val="00AD0AC4"/>
    <w:rsid w:val="00B1278B"/>
    <w:rsid w:val="00B13324"/>
    <w:rsid w:val="00B4158D"/>
    <w:rsid w:val="00B50978"/>
    <w:rsid w:val="00B6080D"/>
    <w:rsid w:val="00B60E26"/>
    <w:rsid w:val="00B648D0"/>
    <w:rsid w:val="00B65916"/>
    <w:rsid w:val="00B72AAD"/>
    <w:rsid w:val="00B750FD"/>
    <w:rsid w:val="00B82070"/>
    <w:rsid w:val="00B935A6"/>
    <w:rsid w:val="00B97670"/>
    <w:rsid w:val="00BB2C18"/>
    <w:rsid w:val="00BB58AE"/>
    <w:rsid w:val="00BB784A"/>
    <w:rsid w:val="00BE2E3D"/>
    <w:rsid w:val="00BE356D"/>
    <w:rsid w:val="00BE3EF5"/>
    <w:rsid w:val="00BF40E3"/>
    <w:rsid w:val="00C02059"/>
    <w:rsid w:val="00C16BDB"/>
    <w:rsid w:val="00C237F6"/>
    <w:rsid w:val="00C239CE"/>
    <w:rsid w:val="00C23DA2"/>
    <w:rsid w:val="00C2563F"/>
    <w:rsid w:val="00C30743"/>
    <w:rsid w:val="00C36684"/>
    <w:rsid w:val="00C444B2"/>
    <w:rsid w:val="00C44CCD"/>
    <w:rsid w:val="00C50A5A"/>
    <w:rsid w:val="00C55751"/>
    <w:rsid w:val="00C62B28"/>
    <w:rsid w:val="00C67826"/>
    <w:rsid w:val="00C7013B"/>
    <w:rsid w:val="00C7708F"/>
    <w:rsid w:val="00C97C2C"/>
    <w:rsid w:val="00CA391D"/>
    <w:rsid w:val="00CB4EB0"/>
    <w:rsid w:val="00CC10CD"/>
    <w:rsid w:val="00CC542B"/>
    <w:rsid w:val="00CC664C"/>
    <w:rsid w:val="00CD4421"/>
    <w:rsid w:val="00CE5D0E"/>
    <w:rsid w:val="00CF0C61"/>
    <w:rsid w:val="00D11695"/>
    <w:rsid w:val="00D1191F"/>
    <w:rsid w:val="00D15088"/>
    <w:rsid w:val="00D21534"/>
    <w:rsid w:val="00D61ADE"/>
    <w:rsid w:val="00D67631"/>
    <w:rsid w:val="00D7055D"/>
    <w:rsid w:val="00D72901"/>
    <w:rsid w:val="00D72B7F"/>
    <w:rsid w:val="00D84B95"/>
    <w:rsid w:val="00D9064E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49E2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E7204"/>
    <w:rsid w:val="00EF2CD3"/>
    <w:rsid w:val="00F03DED"/>
    <w:rsid w:val="00F11198"/>
    <w:rsid w:val="00F117D8"/>
    <w:rsid w:val="00F16F0A"/>
    <w:rsid w:val="00F270A9"/>
    <w:rsid w:val="00F30D62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C65C9"/>
    <w:rsid w:val="00FD6365"/>
    <w:rsid w:val="00FD63C7"/>
    <w:rsid w:val="00FE16F6"/>
    <w:rsid w:val="00FE2678"/>
    <w:rsid w:val="00FE41E5"/>
    <w:rsid w:val="00FF01C2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E12C"/>
  <w15:chartTrackingRefBased/>
  <w15:docId w15:val="{619C30EC-0E85-497B-BD2E-61B099ED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33BD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33BD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6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32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61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3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B1023B5-596D-41C0-824A-DA6AEEFD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Veronika Vavroušková</cp:lastModifiedBy>
  <cp:revision>16</cp:revision>
  <cp:lastPrinted>2017-05-09T08:35:00Z</cp:lastPrinted>
  <dcterms:created xsi:type="dcterms:W3CDTF">2018-09-10T15:48:00Z</dcterms:created>
  <dcterms:modified xsi:type="dcterms:W3CDTF">2018-09-18T14:20:00Z</dcterms:modified>
</cp:coreProperties>
</file>