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634F" w14:textId="77777777" w:rsidR="000D716B" w:rsidRDefault="000D716B" w:rsidP="000D716B">
      <w:pPr>
        <w:pStyle w:val="Zhlav"/>
        <w:rPr>
          <w:color w:val="000000"/>
          <w:szCs w:val="28"/>
        </w:rPr>
      </w:pPr>
      <w:bookmarkStart w:id="0" w:name="_GoBack"/>
      <w:bookmarkEnd w:id="0"/>
    </w:p>
    <w:p w14:paraId="383E9987" w14:textId="77777777" w:rsidR="000D716B" w:rsidRPr="00B53CFA" w:rsidRDefault="000D716B" w:rsidP="000D716B">
      <w:pPr>
        <w:pStyle w:val="Zhlav"/>
      </w:pPr>
    </w:p>
    <w:p w14:paraId="1A65617F" w14:textId="77777777" w:rsidR="00577402" w:rsidRDefault="00577402" w:rsidP="00577402">
      <w:pPr>
        <w:spacing w:after="12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Popis systému: </w:t>
      </w:r>
    </w:p>
    <w:p w14:paraId="3E59FD8F" w14:textId="77777777" w:rsidR="00ED5499" w:rsidRDefault="00ED5499" w:rsidP="00B8668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ED5499">
        <w:rPr>
          <w:rFonts w:ascii="Times New Roman" w:hAnsi="Times New Roman"/>
          <w:color w:val="000000"/>
        </w:rPr>
        <w:t xml:space="preserve">Předmětem dodávky je vsádkový reaktor použitelný pro laboratorní studium </w:t>
      </w:r>
      <w:r w:rsidR="00F00B7F">
        <w:rPr>
          <w:rFonts w:ascii="Times New Roman" w:hAnsi="Times New Roman"/>
          <w:color w:val="000000"/>
        </w:rPr>
        <w:t>modelových chemických reakcí se zaměřením na studium hydrogenace kyslíkatých sloučenin</w:t>
      </w:r>
      <w:r w:rsidRPr="00ED5499">
        <w:rPr>
          <w:rFonts w:ascii="Times New Roman" w:hAnsi="Times New Roman"/>
          <w:color w:val="000000"/>
        </w:rPr>
        <w:t>. Požadovaná technická specifikace je uvedena níže, přičemž uvedené požadavky jsou považovány za minimální a musí být alespoň v uvedené úrovni splněny.</w:t>
      </w:r>
    </w:p>
    <w:p w14:paraId="1D61282D" w14:textId="77777777" w:rsidR="00ED5499" w:rsidRPr="00ED5499" w:rsidRDefault="00ED5499" w:rsidP="00ED5499">
      <w:pPr>
        <w:pStyle w:val="Odstavecseseznamem"/>
        <w:spacing w:after="0" w:line="240" w:lineRule="auto"/>
        <w:ind w:left="0"/>
        <w:rPr>
          <w:rFonts w:ascii="Times New Roman" w:hAnsi="Times New Roman"/>
          <w:color w:val="000000"/>
        </w:rPr>
      </w:pPr>
    </w:p>
    <w:p w14:paraId="334EF5EE" w14:textId="77777777" w:rsidR="00950BC1" w:rsidRDefault="00950BC1" w:rsidP="0048107F">
      <w:pPr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Minimální technické požadavky na přístroj: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168"/>
      </w:tblGrid>
      <w:tr w:rsidR="00950BC1" w14:paraId="2B4DAA41" w14:textId="77777777" w:rsidTr="00102F72">
        <w:tc>
          <w:tcPr>
            <w:tcW w:w="4534" w:type="dxa"/>
            <w:tcBorders>
              <w:bottom w:val="double" w:sz="4" w:space="0" w:color="auto"/>
            </w:tcBorders>
            <w:vAlign w:val="center"/>
          </w:tcPr>
          <w:p w14:paraId="773D6C0C" w14:textId="77777777" w:rsidR="00950BC1" w:rsidRDefault="00ED5499" w:rsidP="00950BC1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Požadavky</w:t>
            </w:r>
          </w:p>
        </w:tc>
        <w:tc>
          <w:tcPr>
            <w:tcW w:w="4168" w:type="dxa"/>
            <w:tcBorders>
              <w:bottom w:val="double" w:sz="4" w:space="0" w:color="auto"/>
            </w:tcBorders>
            <w:vAlign w:val="center"/>
          </w:tcPr>
          <w:p w14:paraId="0A66F83B" w14:textId="77777777" w:rsidR="00950BC1" w:rsidRDefault="00C34622" w:rsidP="00C34622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Vyjádření účastníka</w:t>
            </w:r>
            <w:r w:rsidR="00ED549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950BC1" w14:paraId="4B392606" w14:textId="77777777" w:rsidTr="00102F72">
        <w:tc>
          <w:tcPr>
            <w:tcW w:w="4534" w:type="dxa"/>
            <w:tcBorders>
              <w:top w:val="double" w:sz="4" w:space="0" w:color="auto"/>
            </w:tcBorders>
            <w:vAlign w:val="center"/>
          </w:tcPr>
          <w:p w14:paraId="5D8949A4" w14:textId="77777777" w:rsidR="00950BC1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Pevná hlava</w:t>
            </w:r>
          </w:p>
        </w:tc>
        <w:tc>
          <w:tcPr>
            <w:tcW w:w="4168" w:type="dxa"/>
            <w:tcBorders>
              <w:top w:val="double" w:sz="4" w:space="0" w:color="auto"/>
            </w:tcBorders>
            <w:vAlign w:val="center"/>
          </w:tcPr>
          <w:p w14:paraId="76DB0419" w14:textId="77777777" w:rsidR="00950BC1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14:paraId="4450A3EB" w14:textId="77777777" w:rsidTr="00102F72">
        <w:tc>
          <w:tcPr>
            <w:tcW w:w="4534" w:type="dxa"/>
            <w:vAlign w:val="center"/>
          </w:tcPr>
          <w:p w14:paraId="6A74803B" w14:textId="77777777" w:rsidR="00950BC1" w:rsidRDefault="00ED5499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Odnímatelné tělo reaktoru</w:t>
            </w:r>
            <w:r w:rsidR="00F00B7F">
              <w:rPr>
                <w:rFonts w:ascii="Times New Roman" w:hAnsi="Times New Roman"/>
                <w:color w:val="000000"/>
              </w:rPr>
              <w:t xml:space="preserve"> o objemu 100 ml; poměr vnější výšky ku šířce</w:t>
            </w:r>
            <w:r w:rsidR="000A202D">
              <w:rPr>
                <w:rFonts w:ascii="Times New Roman" w:hAnsi="Times New Roman"/>
                <w:color w:val="000000"/>
              </w:rPr>
              <w:t xml:space="preserve"> těla</w:t>
            </w:r>
            <w:r w:rsidR="00F00B7F">
              <w:rPr>
                <w:rFonts w:ascii="Times New Roman" w:hAnsi="Times New Roman"/>
                <w:color w:val="000000"/>
              </w:rPr>
              <w:t xml:space="preserve"> reaktoru minimálně 2 tj výrazně vyšší než širší.</w:t>
            </w:r>
          </w:p>
        </w:tc>
        <w:tc>
          <w:tcPr>
            <w:tcW w:w="4168" w:type="dxa"/>
            <w:vAlign w:val="center"/>
          </w:tcPr>
          <w:p w14:paraId="12683F4A" w14:textId="77777777" w:rsidR="00950BC1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467504D9" w14:textId="77777777" w:rsidTr="00102F72">
        <w:tc>
          <w:tcPr>
            <w:tcW w:w="4534" w:type="dxa"/>
            <w:vAlign w:val="center"/>
          </w:tcPr>
          <w:p w14:paraId="64AD4463" w14:textId="77777777"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Podpěrná konstrukce se zdvíhacím mechanismem</w:t>
            </w:r>
          </w:p>
        </w:tc>
        <w:tc>
          <w:tcPr>
            <w:tcW w:w="4168" w:type="dxa"/>
            <w:vAlign w:val="center"/>
          </w:tcPr>
          <w:p w14:paraId="662577E2" w14:textId="77777777"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312422C5" w14:textId="77777777" w:rsidTr="00102F72">
        <w:tc>
          <w:tcPr>
            <w:tcW w:w="4534" w:type="dxa"/>
            <w:vAlign w:val="center"/>
          </w:tcPr>
          <w:p w14:paraId="1247DA51" w14:textId="77777777"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Konstrukční materiál hlavních částí (části v přímém kontaktu se zpracovávanými médii) – korozní odolnost minimálně na úrovni nerez oceli SS 316</w:t>
            </w:r>
          </w:p>
        </w:tc>
        <w:tc>
          <w:tcPr>
            <w:tcW w:w="4168" w:type="dxa"/>
            <w:vAlign w:val="center"/>
          </w:tcPr>
          <w:p w14:paraId="698F14F6" w14:textId="77777777"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AE2" w:rsidRPr="005E5F55" w14:paraId="3E36F6B2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5256ADA4" w14:textId="77777777" w:rsidR="00F70AE2" w:rsidRDefault="00F70AE2" w:rsidP="002D76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Pracovní podmínky: Musí být zajištěna možnost práce za max. teploty a tlaku současně, tzn. </w:t>
            </w:r>
            <w:r w:rsidR="00F00B7F">
              <w:rPr>
                <w:rFonts w:ascii="Times New Roman" w:hAnsi="Times New Roman"/>
                <w:color w:val="000000"/>
              </w:rPr>
              <w:t>350</w:t>
            </w:r>
            <w:r>
              <w:rPr>
                <w:rFonts w:ascii="Times New Roman" w:hAnsi="Times New Roman"/>
                <w:color w:val="000000"/>
              </w:rPr>
              <w:t>°C a min. 2</w:t>
            </w:r>
            <w:r w:rsidR="002D7665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bar</w:t>
            </w:r>
          </w:p>
        </w:tc>
        <w:tc>
          <w:tcPr>
            <w:tcW w:w="4168" w:type="dxa"/>
            <w:vAlign w:val="center"/>
          </w:tcPr>
          <w:p w14:paraId="625050C1" w14:textId="77777777" w:rsidR="00F70AE2" w:rsidRPr="009803DB" w:rsidRDefault="00F70AE2" w:rsidP="007B6C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AE2" w:rsidRPr="005E5F55" w14:paraId="4DC6F1F9" w14:textId="77777777" w:rsidTr="00102F72">
        <w:tc>
          <w:tcPr>
            <w:tcW w:w="4534" w:type="dxa"/>
            <w:vAlign w:val="center"/>
          </w:tcPr>
          <w:p w14:paraId="5DA2EACC" w14:textId="77777777" w:rsidR="00F70AE2" w:rsidRPr="005E5F55" w:rsidRDefault="00F70AE2" w:rsidP="007B6C0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Topný plášť s programovatelnou teplotou zajišťující nastavení požadované vnitřní teploty v autoklávu s přesností min. </w:t>
            </w:r>
            <w:r w:rsidRPr="00ED5499">
              <w:rPr>
                <w:rFonts w:ascii="Times New Roman" w:hAnsi="Times New Roman"/>
                <w:color w:val="000000"/>
              </w:rPr>
              <w:t>± 1 °C</w:t>
            </w:r>
          </w:p>
        </w:tc>
        <w:tc>
          <w:tcPr>
            <w:tcW w:w="4168" w:type="dxa"/>
            <w:vAlign w:val="center"/>
          </w:tcPr>
          <w:p w14:paraId="4E166FAC" w14:textId="77777777" w:rsidR="00F70AE2" w:rsidRPr="005E5F55" w:rsidRDefault="00F70AE2" w:rsidP="007B6C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7F343091" w14:textId="77777777" w:rsidTr="00102F72">
        <w:tc>
          <w:tcPr>
            <w:tcW w:w="4534" w:type="dxa"/>
            <w:vAlign w:val="center"/>
          </w:tcPr>
          <w:p w14:paraId="643DCB26" w14:textId="77777777" w:rsidR="00950BC1" w:rsidRPr="005E5F55" w:rsidRDefault="004337B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>Míchání celého objemu – součástí dodávky bude sada míchadel pro vzájemné promíchávání jak dvou kapalných fází, tak kapalné a pevné fáze; kapalné a plynné fáze; směsi kapalné a suspendované pevné fáze s plynnou fází.</w:t>
            </w:r>
          </w:p>
        </w:tc>
        <w:tc>
          <w:tcPr>
            <w:tcW w:w="4168" w:type="dxa"/>
            <w:vAlign w:val="center"/>
          </w:tcPr>
          <w:p w14:paraId="31A76E03" w14:textId="77777777"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50A09871" w14:textId="77777777" w:rsidTr="00102F72">
        <w:tc>
          <w:tcPr>
            <w:tcW w:w="4534" w:type="dxa"/>
            <w:vAlign w:val="center"/>
          </w:tcPr>
          <w:p w14:paraId="103835D2" w14:textId="77777777"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Plynule regulovatelná rychlost míchání do minimálně 1000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ot</w:t>
            </w:r>
            <w:proofErr w:type="spellEnd"/>
            <w:r>
              <w:rPr>
                <w:rFonts w:ascii="Times New Roman" w:hAnsi="Times New Roman"/>
                <w:color w:val="000000"/>
              </w:rPr>
              <w:t>./min.</w:t>
            </w:r>
            <w:proofErr w:type="gramEnd"/>
          </w:p>
        </w:tc>
        <w:tc>
          <w:tcPr>
            <w:tcW w:w="4168" w:type="dxa"/>
            <w:vAlign w:val="center"/>
          </w:tcPr>
          <w:p w14:paraId="5775789A" w14:textId="77777777"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37B9E304" w14:textId="77777777" w:rsidTr="00102F72">
        <w:tc>
          <w:tcPr>
            <w:tcW w:w="4534" w:type="dxa"/>
            <w:vAlign w:val="center"/>
          </w:tcPr>
          <w:p w14:paraId="3C05017D" w14:textId="77777777" w:rsidR="00950BC1" w:rsidRPr="005E5F55" w:rsidRDefault="00ED5499" w:rsidP="00102F72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ED5499">
              <w:rPr>
                <w:rFonts w:ascii="Times New Roman" w:hAnsi="Times New Roman"/>
                <w:color w:val="000000"/>
              </w:rPr>
              <w:t xml:space="preserve">Přívodní potrubí pro možnost připojení na zdroj plynu </w:t>
            </w:r>
            <w:r w:rsidR="00F70AE2">
              <w:rPr>
                <w:rFonts w:ascii="Times New Roman" w:hAnsi="Times New Roman"/>
                <w:color w:val="000000"/>
              </w:rPr>
              <w:t xml:space="preserve">(vodík anebo dusík) </w:t>
            </w:r>
            <w:r w:rsidRPr="00ED5499">
              <w:rPr>
                <w:rFonts w:ascii="Times New Roman" w:hAnsi="Times New Roman"/>
                <w:color w:val="000000"/>
              </w:rPr>
              <w:t xml:space="preserve">z tlakové lahve nebo centrálního rozvodu s uzavíracím ventilem a se systémem napojení </w:t>
            </w:r>
            <w:proofErr w:type="spellStart"/>
            <w:r w:rsidRPr="00ED5499">
              <w:rPr>
                <w:rFonts w:ascii="Times New Roman" w:hAnsi="Times New Roman"/>
                <w:color w:val="000000"/>
              </w:rPr>
              <w:t>h</w:t>
            </w:r>
            <w:r w:rsidR="00102F72">
              <w:rPr>
                <w:rFonts w:ascii="Times New Roman" w:hAnsi="Times New Roman"/>
                <w:color w:val="000000"/>
              </w:rPr>
              <w:t>y</w:t>
            </w:r>
            <w:proofErr w:type="spellEnd"/>
            <w:r w:rsidRPr="00ED5499">
              <w:rPr>
                <w:rFonts w:ascii="Times New Roman" w:hAnsi="Times New Roman"/>
                <w:color w:val="000000"/>
              </w:rPr>
              <w:t>-lok</w:t>
            </w:r>
            <w:r w:rsidR="006C756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6C756B">
              <w:rPr>
                <w:rFonts w:ascii="Times New Roman" w:hAnsi="Times New Roman"/>
                <w:color w:val="000000"/>
              </w:rPr>
              <w:t>swage</w:t>
            </w:r>
            <w:proofErr w:type="spellEnd"/>
            <w:r w:rsidR="006C756B">
              <w:rPr>
                <w:rFonts w:ascii="Times New Roman" w:hAnsi="Times New Roman"/>
                <w:color w:val="000000"/>
              </w:rPr>
              <w:t>-lok</w:t>
            </w:r>
            <w:r w:rsidRPr="00ED5499">
              <w:rPr>
                <w:rFonts w:ascii="Times New Roman" w:hAnsi="Times New Roman"/>
                <w:color w:val="000000"/>
              </w:rPr>
              <w:t>. Připojení musí být v metrickém provedení.</w:t>
            </w:r>
          </w:p>
        </w:tc>
        <w:tc>
          <w:tcPr>
            <w:tcW w:w="4168" w:type="dxa"/>
            <w:vAlign w:val="center"/>
          </w:tcPr>
          <w:p w14:paraId="2716FB78" w14:textId="77777777"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5CCF4F68" w14:textId="77777777" w:rsidTr="00102F72">
        <w:trPr>
          <w:trHeight w:hRule="exact" w:val="397"/>
        </w:trPr>
        <w:tc>
          <w:tcPr>
            <w:tcW w:w="4534" w:type="dxa"/>
            <w:vAlign w:val="center"/>
          </w:tcPr>
          <w:p w14:paraId="7146E1AC" w14:textId="77777777"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ED5499">
              <w:rPr>
                <w:rFonts w:ascii="Times New Roman" w:hAnsi="Times New Roman"/>
                <w:color w:val="000000"/>
              </w:rPr>
              <w:t>Teplotní čidlo uvnitř reaktoru (termočlánek)</w:t>
            </w:r>
          </w:p>
        </w:tc>
        <w:tc>
          <w:tcPr>
            <w:tcW w:w="4168" w:type="dxa"/>
            <w:vAlign w:val="center"/>
          </w:tcPr>
          <w:p w14:paraId="474C7FCA" w14:textId="77777777" w:rsidR="00950BC1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17683267" w14:textId="77777777" w:rsidTr="00102F72">
        <w:trPr>
          <w:trHeight w:val="372"/>
        </w:trPr>
        <w:tc>
          <w:tcPr>
            <w:tcW w:w="4534" w:type="dxa"/>
            <w:vAlign w:val="center"/>
          </w:tcPr>
          <w:p w14:paraId="18263F9F" w14:textId="77777777"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Pojišťovací ventil (</w:t>
            </w:r>
            <w:proofErr w:type="spellStart"/>
            <w:r>
              <w:rPr>
                <w:rFonts w:ascii="Times New Roman" w:hAnsi="Times New Roman"/>
                <w:color w:val="000000"/>
              </w:rPr>
              <w:t>rupture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disk)</w:t>
            </w:r>
          </w:p>
        </w:tc>
        <w:tc>
          <w:tcPr>
            <w:tcW w:w="4168" w:type="dxa"/>
            <w:vAlign w:val="center"/>
          </w:tcPr>
          <w:p w14:paraId="0E636D63" w14:textId="77777777"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13BFEB00" w14:textId="77777777" w:rsidTr="00102F72">
        <w:tc>
          <w:tcPr>
            <w:tcW w:w="4534" w:type="dxa"/>
            <w:vAlign w:val="center"/>
          </w:tcPr>
          <w:p w14:paraId="13625F2E" w14:textId="77777777"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Mechanický manometr</w:t>
            </w:r>
          </w:p>
        </w:tc>
        <w:tc>
          <w:tcPr>
            <w:tcW w:w="4168" w:type="dxa"/>
            <w:vAlign w:val="center"/>
          </w:tcPr>
          <w:p w14:paraId="3FEA1F4F" w14:textId="77777777"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69F3162E" w14:textId="77777777" w:rsidTr="00102F72">
        <w:tc>
          <w:tcPr>
            <w:tcW w:w="4534" w:type="dxa"/>
            <w:vAlign w:val="center"/>
          </w:tcPr>
          <w:p w14:paraId="44A7158C" w14:textId="77777777" w:rsidR="00950BC1" w:rsidRPr="005E5F55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Elektronický snímač tlaku</w:t>
            </w:r>
          </w:p>
        </w:tc>
        <w:tc>
          <w:tcPr>
            <w:tcW w:w="4168" w:type="dxa"/>
            <w:vAlign w:val="center"/>
          </w:tcPr>
          <w:p w14:paraId="58F27EB0" w14:textId="77777777" w:rsidR="00950BC1" w:rsidRPr="005E5F55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0BC1" w:rsidRPr="005E5F55" w14:paraId="3EE65F1D" w14:textId="77777777" w:rsidTr="00102F72">
        <w:tc>
          <w:tcPr>
            <w:tcW w:w="4534" w:type="dxa"/>
            <w:vAlign w:val="center"/>
          </w:tcPr>
          <w:p w14:paraId="2DA6C04C" w14:textId="77777777" w:rsidR="00950BC1" w:rsidRPr="00095F53" w:rsidRDefault="00ED5499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Elektronické měření otáček míchadla</w:t>
            </w:r>
          </w:p>
        </w:tc>
        <w:tc>
          <w:tcPr>
            <w:tcW w:w="4168" w:type="dxa"/>
            <w:vAlign w:val="center"/>
          </w:tcPr>
          <w:p w14:paraId="712BF86D" w14:textId="77777777" w:rsidR="00950BC1" w:rsidRPr="0060231B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37BA" w:rsidRPr="005E5F55" w14:paraId="1A458AC1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26DBBC92" w14:textId="77777777" w:rsidR="004337BA" w:rsidRDefault="004337B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>Výstupní potrubí plynu s možností vzorkování plynných produktů přímo z autoklávu s napojením přes jehlový ventil.</w:t>
            </w:r>
          </w:p>
        </w:tc>
        <w:tc>
          <w:tcPr>
            <w:tcW w:w="4168" w:type="dxa"/>
            <w:vAlign w:val="center"/>
          </w:tcPr>
          <w:p w14:paraId="56DDE921" w14:textId="77777777" w:rsidR="004337BA" w:rsidRPr="009803DB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37BA" w:rsidRPr="005E5F55" w14:paraId="7D8E75F8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78E8D9F0" w14:textId="77777777" w:rsidR="004337BA" w:rsidRPr="004337BA" w:rsidRDefault="00F00B7F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Odnímatelná </w:t>
            </w:r>
            <w:r w:rsidR="00727DA4">
              <w:rPr>
                <w:rFonts w:ascii="Times New Roman" w:hAnsi="Times New Roman"/>
                <w:color w:val="000000"/>
              </w:rPr>
              <w:t>v</w:t>
            </w:r>
            <w:r w:rsidR="004337BA" w:rsidRPr="004337BA">
              <w:rPr>
                <w:rFonts w:ascii="Times New Roman" w:hAnsi="Times New Roman"/>
                <w:color w:val="000000"/>
              </w:rPr>
              <w:t xml:space="preserve">zorkovací </w:t>
            </w:r>
            <w:r>
              <w:rPr>
                <w:rFonts w:ascii="Times New Roman" w:hAnsi="Times New Roman"/>
                <w:color w:val="000000"/>
              </w:rPr>
              <w:t>trubice</w:t>
            </w:r>
            <w:r w:rsidRPr="004337BA">
              <w:rPr>
                <w:rFonts w:ascii="Times New Roman" w:hAnsi="Times New Roman"/>
                <w:color w:val="000000"/>
              </w:rPr>
              <w:t xml:space="preserve"> </w:t>
            </w:r>
            <w:r w:rsidR="004337BA" w:rsidRPr="004337BA">
              <w:rPr>
                <w:rFonts w:ascii="Times New Roman" w:hAnsi="Times New Roman"/>
                <w:color w:val="000000"/>
              </w:rPr>
              <w:t>kapaliny v reaktoru se zakončením jak volným, tak prostřednictvím sintru s jehlovým ventil</w:t>
            </w:r>
            <w:r w:rsidR="00727DA4">
              <w:rPr>
                <w:rFonts w:ascii="Times New Roman" w:hAnsi="Times New Roman"/>
                <w:color w:val="000000"/>
              </w:rPr>
              <w:t>em</w:t>
            </w:r>
            <w:r w:rsidR="004337BA" w:rsidRPr="004337BA">
              <w:rPr>
                <w:rFonts w:ascii="Times New Roman" w:hAnsi="Times New Roman"/>
                <w:color w:val="000000"/>
              </w:rPr>
              <w:t xml:space="preserve"> a s možností přímého odběru vzorku </w:t>
            </w:r>
          </w:p>
        </w:tc>
        <w:tc>
          <w:tcPr>
            <w:tcW w:w="4168" w:type="dxa"/>
            <w:vAlign w:val="center"/>
          </w:tcPr>
          <w:p w14:paraId="17FDC580" w14:textId="77777777" w:rsidR="004337BA" w:rsidRPr="009803DB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37BA" w:rsidRPr="005E5F55" w14:paraId="13C91257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1C9ADED6" w14:textId="77777777" w:rsidR="0044158F" w:rsidRDefault="004337B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>Reaktor i jeho součásti musejí být chemicky odolné</w:t>
            </w:r>
            <w:r w:rsidR="00F513B9">
              <w:rPr>
                <w:rFonts w:ascii="Times New Roman" w:hAnsi="Times New Roman"/>
                <w:color w:val="000000"/>
              </w:rPr>
              <w:t xml:space="preserve"> v obvyklém rozsahu</w:t>
            </w:r>
          </w:p>
          <w:p w14:paraId="5D50AD51" w14:textId="0C4B4B53" w:rsidR="004337BA" w:rsidRPr="004337BA" w:rsidRDefault="004337B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>, např. vůči působení organických látek obsažených v ropných a uhelných produktech, organickým rozpouštědlům, H</w:t>
            </w:r>
            <w:r w:rsidRPr="004337BA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4337BA">
              <w:rPr>
                <w:rFonts w:ascii="Times New Roman" w:hAnsi="Times New Roman"/>
                <w:color w:val="000000"/>
              </w:rPr>
              <w:t>S, NH</w:t>
            </w:r>
            <w:r w:rsidRPr="004337BA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4337BA">
              <w:rPr>
                <w:rFonts w:ascii="Times New Roman" w:hAnsi="Times New Roman"/>
                <w:color w:val="000000"/>
              </w:rPr>
              <w:t>, organickým kyselinám</w:t>
            </w:r>
            <w:r w:rsidR="00F513B9">
              <w:rPr>
                <w:rFonts w:ascii="Times New Roman" w:hAnsi="Times New Roman"/>
                <w:color w:val="000000"/>
              </w:rPr>
              <w:t>,</w:t>
            </w:r>
            <w:r w:rsidRPr="004337B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68" w:type="dxa"/>
            <w:vAlign w:val="center"/>
          </w:tcPr>
          <w:p w14:paraId="7B15F0F0" w14:textId="77777777" w:rsidR="004337BA" w:rsidRPr="009803DB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37BA" w:rsidRPr="005E5F55" w14:paraId="2D30D2DB" w14:textId="77777777" w:rsidTr="00102F72">
        <w:trPr>
          <w:trHeight w:val="299"/>
        </w:trPr>
        <w:tc>
          <w:tcPr>
            <w:tcW w:w="8702" w:type="dxa"/>
            <w:gridSpan w:val="2"/>
            <w:vAlign w:val="center"/>
          </w:tcPr>
          <w:p w14:paraId="23D13D7E" w14:textId="77777777" w:rsidR="004337BA" w:rsidRPr="004337BA" w:rsidRDefault="004337BA" w:rsidP="0043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37BA">
              <w:rPr>
                <w:rFonts w:ascii="Times New Roman" w:hAnsi="Times New Roman"/>
                <w:b/>
                <w:color w:val="000000"/>
              </w:rPr>
              <w:t>Příslušenství k přístroji</w:t>
            </w:r>
          </w:p>
        </w:tc>
      </w:tr>
      <w:tr w:rsidR="004337BA" w:rsidRPr="005E5F55" w14:paraId="267D1A9D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4515EB5B" w14:textId="77777777" w:rsidR="004337BA" w:rsidRPr="004337BA" w:rsidRDefault="004337BA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337BA">
              <w:rPr>
                <w:rFonts w:ascii="Times New Roman" w:hAnsi="Times New Roman"/>
                <w:color w:val="000000"/>
              </w:rPr>
              <w:t xml:space="preserve">Řídící </w:t>
            </w:r>
            <w:r w:rsidR="00F00B7F">
              <w:rPr>
                <w:rFonts w:ascii="Times New Roman" w:hAnsi="Times New Roman"/>
                <w:color w:val="000000"/>
              </w:rPr>
              <w:t>jednotka reaktoru</w:t>
            </w:r>
          </w:p>
        </w:tc>
        <w:tc>
          <w:tcPr>
            <w:tcW w:w="4168" w:type="dxa"/>
            <w:vAlign w:val="center"/>
          </w:tcPr>
          <w:p w14:paraId="74F2ED0E" w14:textId="77777777" w:rsidR="004337BA" w:rsidRPr="009803DB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872BB80" w14:textId="77777777" w:rsidR="00950BC1" w:rsidRDefault="00950BC1" w:rsidP="00950BC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7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013"/>
        <w:gridCol w:w="1914"/>
        <w:gridCol w:w="1382"/>
        <w:gridCol w:w="2766"/>
      </w:tblGrid>
      <w:tr w:rsidR="004337BA" w14:paraId="6F53D9C5" w14:textId="77777777" w:rsidTr="004337BA">
        <w:trPr>
          <w:trHeight w:val="463"/>
        </w:trPr>
        <w:tc>
          <w:tcPr>
            <w:tcW w:w="874" w:type="pct"/>
          </w:tcPr>
          <w:p w14:paraId="548FD565" w14:textId="77777777" w:rsidR="004337BA" w:rsidRPr="004337BA" w:rsidRDefault="004337BA" w:rsidP="0048107F">
            <w:pPr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>Reaktor</w:t>
            </w:r>
          </w:p>
        </w:tc>
        <w:tc>
          <w:tcPr>
            <w:tcW w:w="591" w:type="pct"/>
          </w:tcPr>
          <w:p w14:paraId="2CFA70DD" w14:textId="77777777" w:rsidR="004337BA" w:rsidRPr="004337BA" w:rsidRDefault="004337BA" w:rsidP="0048107F">
            <w:pPr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116" w:type="pct"/>
          </w:tcPr>
          <w:p w14:paraId="1EC89AB7" w14:textId="77777777" w:rsidR="004337BA" w:rsidRPr="004337BA" w:rsidRDefault="004337BA" w:rsidP="004337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 xml:space="preserve">Tlak minimálně do </w:t>
            </w:r>
          </w:p>
          <w:p w14:paraId="10E41C73" w14:textId="77777777" w:rsidR="004337BA" w:rsidRPr="004337BA" w:rsidRDefault="004337BA" w:rsidP="0048107F">
            <w:pPr>
              <w:rPr>
                <w:rFonts w:ascii="Times New Roman" w:hAnsi="Times New Roman"/>
                <w:b/>
                <w:lang w:val="en-US"/>
              </w:rPr>
            </w:pPr>
            <w:r w:rsidRPr="004337BA">
              <w:rPr>
                <w:rFonts w:ascii="Times New Roman" w:hAnsi="Times New Roman"/>
                <w:b/>
                <w:lang w:val="en-US"/>
              </w:rPr>
              <w:t>[bar]</w:t>
            </w:r>
          </w:p>
        </w:tc>
        <w:tc>
          <w:tcPr>
            <w:tcW w:w="806" w:type="pct"/>
          </w:tcPr>
          <w:p w14:paraId="1A242393" w14:textId="77777777" w:rsidR="004337BA" w:rsidRPr="004337BA" w:rsidRDefault="004337BA" w:rsidP="004337B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 xml:space="preserve">Objem v rozmezí /ml/ </w:t>
            </w:r>
          </w:p>
        </w:tc>
        <w:tc>
          <w:tcPr>
            <w:tcW w:w="1613" w:type="pct"/>
          </w:tcPr>
          <w:p w14:paraId="77756FED" w14:textId="77777777" w:rsidR="004337BA" w:rsidRPr="004337BA" w:rsidRDefault="004337BA" w:rsidP="0048107F">
            <w:pPr>
              <w:rPr>
                <w:rFonts w:ascii="Times New Roman" w:hAnsi="Times New Roman"/>
                <w:b/>
              </w:rPr>
            </w:pPr>
            <w:r w:rsidRPr="004337BA">
              <w:rPr>
                <w:rFonts w:ascii="Times New Roman" w:hAnsi="Times New Roman"/>
                <w:b/>
              </w:rPr>
              <w:t xml:space="preserve">Max. </w:t>
            </w:r>
            <w:proofErr w:type="spellStart"/>
            <w:r w:rsidRPr="004337BA">
              <w:rPr>
                <w:rFonts w:ascii="Times New Roman" w:hAnsi="Times New Roman"/>
                <w:b/>
              </w:rPr>
              <w:t>prac</w:t>
            </w:r>
            <w:proofErr w:type="spellEnd"/>
            <w:r w:rsidRPr="004337BA">
              <w:rPr>
                <w:rFonts w:ascii="Times New Roman" w:hAnsi="Times New Roman"/>
                <w:b/>
              </w:rPr>
              <w:t>. teplota /ºC/</w:t>
            </w:r>
          </w:p>
        </w:tc>
      </w:tr>
      <w:tr w:rsidR="004337BA" w14:paraId="36D303B6" w14:textId="77777777" w:rsidTr="004337BA">
        <w:tc>
          <w:tcPr>
            <w:tcW w:w="874" w:type="pct"/>
          </w:tcPr>
          <w:p w14:paraId="7ED65260" w14:textId="77777777" w:rsidR="004337BA" w:rsidRPr="004337BA" w:rsidRDefault="006C756B" w:rsidP="0048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Autokláv</w:t>
            </w:r>
          </w:p>
        </w:tc>
        <w:tc>
          <w:tcPr>
            <w:tcW w:w="591" w:type="pct"/>
          </w:tcPr>
          <w:p w14:paraId="7F2317CB" w14:textId="77777777" w:rsidR="004337BA" w:rsidRPr="004337BA" w:rsidRDefault="004337BA" w:rsidP="0048107F">
            <w:pPr>
              <w:rPr>
                <w:rFonts w:ascii="Times New Roman" w:hAnsi="Times New Roman"/>
              </w:rPr>
            </w:pPr>
            <w:r w:rsidRPr="004337BA">
              <w:rPr>
                <w:rFonts w:ascii="Times New Roman" w:hAnsi="Times New Roman"/>
              </w:rPr>
              <w:t>vsádkový</w:t>
            </w:r>
          </w:p>
        </w:tc>
        <w:tc>
          <w:tcPr>
            <w:tcW w:w="1116" w:type="pct"/>
          </w:tcPr>
          <w:p w14:paraId="0054CEBF" w14:textId="77777777" w:rsidR="004337BA" w:rsidRPr="004337BA" w:rsidDel="00A448F9" w:rsidRDefault="002D7665" w:rsidP="0048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06" w:type="pct"/>
          </w:tcPr>
          <w:p w14:paraId="508C1C93" w14:textId="77777777" w:rsidR="004337BA" w:rsidRPr="004337BA" w:rsidRDefault="00F00B7F" w:rsidP="0048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13" w:type="pct"/>
          </w:tcPr>
          <w:p w14:paraId="2A310D2B" w14:textId="77777777" w:rsidR="004337BA" w:rsidRPr="004337BA" w:rsidRDefault="00F00B7F" w:rsidP="0048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</w:tbl>
    <w:p w14:paraId="584235D5" w14:textId="77777777" w:rsidR="004337BA" w:rsidRDefault="004337BA" w:rsidP="00950BC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18089D" w14:textId="77777777" w:rsidR="00F47404" w:rsidRPr="004337BA" w:rsidRDefault="00F47404" w:rsidP="00F47404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sectPr w:rsidR="00F47404" w:rsidRPr="004337BA" w:rsidSect="00B8668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A619D" w14:textId="77777777" w:rsidR="003A32B7" w:rsidRDefault="003A32B7" w:rsidP="003A32B7">
      <w:pPr>
        <w:spacing w:after="0" w:line="240" w:lineRule="auto"/>
      </w:pPr>
      <w:r>
        <w:separator/>
      </w:r>
    </w:p>
  </w:endnote>
  <w:endnote w:type="continuationSeparator" w:id="0">
    <w:p w14:paraId="056B73B1" w14:textId="77777777" w:rsidR="003A32B7" w:rsidRDefault="003A32B7" w:rsidP="003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CB577" w14:textId="77777777" w:rsidR="003A32B7" w:rsidRDefault="003A32B7" w:rsidP="003A32B7">
      <w:pPr>
        <w:spacing w:after="0" w:line="240" w:lineRule="auto"/>
      </w:pPr>
      <w:r>
        <w:separator/>
      </w:r>
    </w:p>
  </w:footnote>
  <w:footnote w:type="continuationSeparator" w:id="0">
    <w:p w14:paraId="48806612" w14:textId="77777777" w:rsidR="003A32B7" w:rsidRDefault="003A32B7" w:rsidP="003A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F28B9" w14:textId="77777777" w:rsidR="003A32B7" w:rsidRDefault="003A32B7" w:rsidP="003A32B7">
    <w:pPr>
      <w:pStyle w:val="Zhlav"/>
      <w:rPr>
        <w:color w:val="000000"/>
        <w:szCs w:val="28"/>
      </w:rPr>
    </w:pPr>
    <w:r w:rsidRPr="00ED1E68">
      <w:t xml:space="preserve">Příloha č. </w:t>
    </w:r>
    <w:r>
      <w:t xml:space="preserve">1 </w:t>
    </w:r>
    <w:r w:rsidRPr="00FB79EF">
      <w:t>Zadávací dokumentace veřejné zakázky</w:t>
    </w:r>
    <w:r>
      <w:t xml:space="preserve"> </w:t>
    </w:r>
    <w:r w:rsidRPr="007A0FF1">
      <w:t>Autokláv pro katalytické testy</w:t>
    </w:r>
    <w:r>
      <w:t xml:space="preserve"> /</w:t>
    </w:r>
    <w:r w:rsidRPr="003E007D">
      <w:t xml:space="preserve"> </w:t>
    </w:r>
    <w:r w:rsidRPr="003E007D">
      <w:rPr>
        <w:lang w:val="en-AU"/>
      </w:rPr>
      <w:t>Autoclave for catalytic tests</w:t>
    </w:r>
    <w:r w:rsidRPr="0012155A">
      <w:rPr>
        <w:color w:val="000000"/>
        <w:szCs w:val="28"/>
      </w:rPr>
      <w:t>“</w:t>
    </w:r>
  </w:p>
  <w:p w14:paraId="2DE7AA81" w14:textId="77777777" w:rsidR="003A32B7" w:rsidRDefault="003A32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1E4"/>
    <w:multiLevelType w:val="hybridMultilevel"/>
    <w:tmpl w:val="88DCDD6C"/>
    <w:lvl w:ilvl="0" w:tplc="C960F9B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B578C"/>
    <w:multiLevelType w:val="hybridMultilevel"/>
    <w:tmpl w:val="9E96606E"/>
    <w:lvl w:ilvl="0" w:tplc="22800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12555"/>
    <w:rsid w:val="0001675C"/>
    <w:rsid w:val="0001688F"/>
    <w:rsid w:val="00036405"/>
    <w:rsid w:val="00040CA6"/>
    <w:rsid w:val="00070D6F"/>
    <w:rsid w:val="00072E16"/>
    <w:rsid w:val="000806F7"/>
    <w:rsid w:val="000A202D"/>
    <w:rsid w:val="000A2D54"/>
    <w:rsid w:val="000C5B11"/>
    <w:rsid w:val="000D3173"/>
    <w:rsid w:val="000D716B"/>
    <w:rsid w:val="000E77F0"/>
    <w:rsid w:val="000F76F6"/>
    <w:rsid w:val="00102F72"/>
    <w:rsid w:val="0010709D"/>
    <w:rsid w:val="001105B5"/>
    <w:rsid w:val="00114EAD"/>
    <w:rsid w:val="00130B4B"/>
    <w:rsid w:val="00141A7E"/>
    <w:rsid w:val="00152948"/>
    <w:rsid w:val="00152FB3"/>
    <w:rsid w:val="001856E2"/>
    <w:rsid w:val="001A23C9"/>
    <w:rsid w:val="001C7B7E"/>
    <w:rsid w:val="001D003A"/>
    <w:rsid w:val="001F0302"/>
    <w:rsid w:val="002001D7"/>
    <w:rsid w:val="00220FCE"/>
    <w:rsid w:val="00225FD2"/>
    <w:rsid w:val="002269FE"/>
    <w:rsid w:val="00227131"/>
    <w:rsid w:val="00230ABD"/>
    <w:rsid w:val="0024596C"/>
    <w:rsid w:val="00250DD5"/>
    <w:rsid w:val="00255B58"/>
    <w:rsid w:val="00256FD7"/>
    <w:rsid w:val="00267F93"/>
    <w:rsid w:val="00277193"/>
    <w:rsid w:val="00285409"/>
    <w:rsid w:val="0029200A"/>
    <w:rsid w:val="00295779"/>
    <w:rsid w:val="002B7CA0"/>
    <w:rsid w:val="002D58A6"/>
    <w:rsid w:val="002D7665"/>
    <w:rsid w:val="002D7D6B"/>
    <w:rsid w:val="002E18AE"/>
    <w:rsid w:val="002E7BCF"/>
    <w:rsid w:val="002F6A5B"/>
    <w:rsid w:val="00307796"/>
    <w:rsid w:val="003127E2"/>
    <w:rsid w:val="00324E29"/>
    <w:rsid w:val="00334971"/>
    <w:rsid w:val="0033517A"/>
    <w:rsid w:val="0036636F"/>
    <w:rsid w:val="00372AD6"/>
    <w:rsid w:val="003822C6"/>
    <w:rsid w:val="00386824"/>
    <w:rsid w:val="00390684"/>
    <w:rsid w:val="003921B6"/>
    <w:rsid w:val="003A32B7"/>
    <w:rsid w:val="003A6F46"/>
    <w:rsid w:val="003B2DE1"/>
    <w:rsid w:val="003D65D8"/>
    <w:rsid w:val="003D6704"/>
    <w:rsid w:val="003D705B"/>
    <w:rsid w:val="003F4E36"/>
    <w:rsid w:val="00405264"/>
    <w:rsid w:val="00416FFA"/>
    <w:rsid w:val="004337BA"/>
    <w:rsid w:val="0044158F"/>
    <w:rsid w:val="00450953"/>
    <w:rsid w:val="00475E9B"/>
    <w:rsid w:val="00480044"/>
    <w:rsid w:val="0048107F"/>
    <w:rsid w:val="00490812"/>
    <w:rsid w:val="004A7096"/>
    <w:rsid w:val="004B6901"/>
    <w:rsid w:val="004B6ABD"/>
    <w:rsid w:val="004C5162"/>
    <w:rsid w:val="004E6348"/>
    <w:rsid w:val="004E7894"/>
    <w:rsid w:val="0050284A"/>
    <w:rsid w:val="005052D5"/>
    <w:rsid w:val="00551DB9"/>
    <w:rsid w:val="005719D2"/>
    <w:rsid w:val="00573843"/>
    <w:rsid w:val="00577402"/>
    <w:rsid w:val="00595437"/>
    <w:rsid w:val="005A3BF4"/>
    <w:rsid w:val="005A57CF"/>
    <w:rsid w:val="005C398E"/>
    <w:rsid w:val="005F0F5D"/>
    <w:rsid w:val="005F0FE0"/>
    <w:rsid w:val="005F3132"/>
    <w:rsid w:val="005F3355"/>
    <w:rsid w:val="0060026D"/>
    <w:rsid w:val="00611C17"/>
    <w:rsid w:val="0061761F"/>
    <w:rsid w:val="0062785B"/>
    <w:rsid w:val="00632E6C"/>
    <w:rsid w:val="00634AA2"/>
    <w:rsid w:val="00666B93"/>
    <w:rsid w:val="00681E62"/>
    <w:rsid w:val="006A4DF1"/>
    <w:rsid w:val="006A71A0"/>
    <w:rsid w:val="006B4D2F"/>
    <w:rsid w:val="006C756B"/>
    <w:rsid w:val="006D1694"/>
    <w:rsid w:val="006F400E"/>
    <w:rsid w:val="006F5897"/>
    <w:rsid w:val="007031D5"/>
    <w:rsid w:val="00705384"/>
    <w:rsid w:val="00705408"/>
    <w:rsid w:val="007073D9"/>
    <w:rsid w:val="0071281D"/>
    <w:rsid w:val="00727DA4"/>
    <w:rsid w:val="00740DC6"/>
    <w:rsid w:val="00743EF9"/>
    <w:rsid w:val="00760B68"/>
    <w:rsid w:val="007772C6"/>
    <w:rsid w:val="007846AC"/>
    <w:rsid w:val="007A306D"/>
    <w:rsid w:val="007A7624"/>
    <w:rsid w:val="007B6C03"/>
    <w:rsid w:val="007C4CA8"/>
    <w:rsid w:val="007D0365"/>
    <w:rsid w:val="007E2C13"/>
    <w:rsid w:val="007E3508"/>
    <w:rsid w:val="007F2F2F"/>
    <w:rsid w:val="007F32BF"/>
    <w:rsid w:val="0080218E"/>
    <w:rsid w:val="00803C5F"/>
    <w:rsid w:val="00814099"/>
    <w:rsid w:val="0081479A"/>
    <w:rsid w:val="00814A98"/>
    <w:rsid w:val="00840DFD"/>
    <w:rsid w:val="00853D72"/>
    <w:rsid w:val="00867429"/>
    <w:rsid w:val="0087668A"/>
    <w:rsid w:val="00881079"/>
    <w:rsid w:val="008922E4"/>
    <w:rsid w:val="008969C5"/>
    <w:rsid w:val="008A450C"/>
    <w:rsid w:val="008E32F2"/>
    <w:rsid w:val="008E7025"/>
    <w:rsid w:val="0092708C"/>
    <w:rsid w:val="00942AE8"/>
    <w:rsid w:val="00946C8B"/>
    <w:rsid w:val="00950BC1"/>
    <w:rsid w:val="00953B11"/>
    <w:rsid w:val="0097571C"/>
    <w:rsid w:val="00994FE9"/>
    <w:rsid w:val="0099546A"/>
    <w:rsid w:val="009B1D76"/>
    <w:rsid w:val="009B507E"/>
    <w:rsid w:val="009C3442"/>
    <w:rsid w:val="009D50B3"/>
    <w:rsid w:val="009E0634"/>
    <w:rsid w:val="009F60EB"/>
    <w:rsid w:val="00A022F9"/>
    <w:rsid w:val="00A03128"/>
    <w:rsid w:val="00A0374D"/>
    <w:rsid w:val="00A10071"/>
    <w:rsid w:val="00A1068E"/>
    <w:rsid w:val="00A162BA"/>
    <w:rsid w:val="00A412F5"/>
    <w:rsid w:val="00A41D4F"/>
    <w:rsid w:val="00A4241C"/>
    <w:rsid w:val="00A77C3A"/>
    <w:rsid w:val="00A817FA"/>
    <w:rsid w:val="00AA5270"/>
    <w:rsid w:val="00AA79D3"/>
    <w:rsid w:val="00AC4D88"/>
    <w:rsid w:val="00AD0AC4"/>
    <w:rsid w:val="00AD694A"/>
    <w:rsid w:val="00B1278B"/>
    <w:rsid w:val="00B12A21"/>
    <w:rsid w:val="00B13324"/>
    <w:rsid w:val="00B6080D"/>
    <w:rsid w:val="00B648D0"/>
    <w:rsid w:val="00B65916"/>
    <w:rsid w:val="00B750FD"/>
    <w:rsid w:val="00B86687"/>
    <w:rsid w:val="00B97670"/>
    <w:rsid w:val="00BB58AE"/>
    <w:rsid w:val="00BE2E3D"/>
    <w:rsid w:val="00BE356D"/>
    <w:rsid w:val="00BE3EF5"/>
    <w:rsid w:val="00BF01F5"/>
    <w:rsid w:val="00C02059"/>
    <w:rsid w:val="00C237F6"/>
    <w:rsid w:val="00C239CE"/>
    <w:rsid w:val="00C2563F"/>
    <w:rsid w:val="00C34622"/>
    <w:rsid w:val="00C444B2"/>
    <w:rsid w:val="00C55751"/>
    <w:rsid w:val="00C62B28"/>
    <w:rsid w:val="00C7013B"/>
    <w:rsid w:val="00C7708F"/>
    <w:rsid w:val="00C97C2C"/>
    <w:rsid w:val="00CA391D"/>
    <w:rsid w:val="00CB4EB0"/>
    <w:rsid w:val="00CC10CD"/>
    <w:rsid w:val="00D0751A"/>
    <w:rsid w:val="00D15088"/>
    <w:rsid w:val="00D61ADE"/>
    <w:rsid w:val="00D84B95"/>
    <w:rsid w:val="00D92DC6"/>
    <w:rsid w:val="00DA4FF1"/>
    <w:rsid w:val="00DB6996"/>
    <w:rsid w:val="00DE2A81"/>
    <w:rsid w:val="00DF0675"/>
    <w:rsid w:val="00E032DC"/>
    <w:rsid w:val="00E117AE"/>
    <w:rsid w:val="00E1244B"/>
    <w:rsid w:val="00E2274E"/>
    <w:rsid w:val="00E457C6"/>
    <w:rsid w:val="00E516B1"/>
    <w:rsid w:val="00E526BE"/>
    <w:rsid w:val="00E5709C"/>
    <w:rsid w:val="00E62F41"/>
    <w:rsid w:val="00E64CA2"/>
    <w:rsid w:val="00E67A06"/>
    <w:rsid w:val="00E72302"/>
    <w:rsid w:val="00EA1545"/>
    <w:rsid w:val="00EA52DF"/>
    <w:rsid w:val="00EB4CCE"/>
    <w:rsid w:val="00EC49FA"/>
    <w:rsid w:val="00ED5499"/>
    <w:rsid w:val="00EE7204"/>
    <w:rsid w:val="00EF2CD3"/>
    <w:rsid w:val="00EF494B"/>
    <w:rsid w:val="00F00B7F"/>
    <w:rsid w:val="00F03DED"/>
    <w:rsid w:val="00F125B1"/>
    <w:rsid w:val="00F270A9"/>
    <w:rsid w:val="00F44784"/>
    <w:rsid w:val="00F47404"/>
    <w:rsid w:val="00F513B9"/>
    <w:rsid w:val="00F525E5"/>
    <w:rsid w:val="00F6184B"/>
    <w:rsid w:val="00F70AE2"/>
    <w:rsid w:val="00F70D70"/>
    <w:rsid w:val="00F7220D"/>
    <w:rsid w:val="00F85C3C"/>
    <w:rsid w:val="00F87FA4"/>
    <w:rsid w:val="00F95886"/>
    <w:rsid w:val="00FC0BA1"/>
    <w:rsid w:val="00FD6365"/>
    <w:rsid w:val="00FD63C7"/>
    <w:rsid w:val="00FD71E3"/>
    <w:rsid w:val="00FE16F6"/>
    <w:rsid w:val="00FE2678"/>
    <w:rsid w:val="00FE41E5"/>
    <w:rsid w:val="00FF0D84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037E"/>
  <w15:chartTrackingRefBased/>
  <w15:docId w15:val="{B0647E2A-1759-47CC-9EF3-66126FF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rsid w:val="000D71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D716B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3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2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Ivana Čechová</cp:lastModifiedBy>
  <cp:revision>6</cp:revision>
  <dcterms:created xsi:type="dcterms:W3CDTF">2020-08-18T05:52:00Z</dcterms:created>
  <dcterms:modified xsi:type="dcterms:W3CDTF">2020-08-25T10:26:00Z</dcterms:modified>
</cp:coreProperties>
</file>